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33" w:rsidRDefault="00217033" w:rsidP="00217033">
      <w:pPr>
        <w:pStyle w:val="NormalWeb"/>
        <w:spacing w:before="0" w:beforeAutospacing="0" w:after="0" w:afterAutospacing="0"/>
      </w:pPr>
    </w:p>
    <w:p w:rsidR="00200DC5" w:rsidRDefault="00591F66" w:rsidP="00217033">
      <w:pPr>
        <w:pStyle w:val="NormalWeb"/>
        <w:spacing w:before="0" w:beforeAutospacing="0" w:after="0" w:afterAutospacing="0"/>
        <w:jc w:val="center"/>
        <w:rPr>
          <w:rFonts w:ascii="Arial" w:hAnsi="Arial" w:cs="Arial"/>
          <w:b/>
          <w:color w:val="000000"/>
          <w:sz w:val="28"/>
          <w:szCs w:val="26"/>
        </w:rPr>
      </w:pPr>
      <w:r>
        <w:rPr>
          <w:rFonts w:ascii="Arial" w:hAnsi="Arial" w:cs="Arial"/>
          <w:b/>
          <w:color w:val="000000"/>
          <w:sz w:val="28"/>
          <w:szCs w:val="26"/>
        </w:rPr>
        <w:t>T</w:t>
      </w:r>
      <w:r w:rsidR="00200DC5">
        <w:rPr>
          <w:rFonts w:ascii="Arial" w:hAnsi="Arial" w:cs="Arial"/>
          <w:b/>
          <w:color w:val="000000"/>
          <w:sz w:val="28"/>
          <w:szCs w:val="26"/>
        </w:rPr>
        <w:t>emplate</w:t>
      </w:r>
    </w:p>
    <w:p w:rsidR="00217033" w:rsidRPr="00217033" w:rsidRDefault="00217033" w:rsidP="00217033">
      <w:pPr>
        <w:pStyle w:val="NormalWeb"/>
        <w:spacing w:before="0" w:beforeAutospacing="0" w:after="0" w:afterAutospacing="0"/>
        <w:jc w:val="center"/>
        <w:rPr>
          <w:rFonts w:ascii="Arial" w:hAnsi="Arial" w:cs="Arial"/>
          <w:b/>
          <w:color w:val="000000"/>
          <w:sz w:val="28"/>
          <w:szCs w:val="26"/>
        </w:rPr>
      </w:pPr>
      <w:r w:rsidRPr="00217033">
        <w:rPr>
          <w:rFonts w:ascii="Arial" w:hAnsi="Arial" w:cs="Arial"/>
          <w:b/>
          <w:color w:val="000000"/>
          <w:sz w:val="28"/>
          <w:szCs w:val="26"/>
        </w:rPr>
        <w:t>Align CTE Programs with Labor Market Information</w:t>
      </w:r>
    </w:p>
    <w:p w:rsidR="00217033" w:rsidRDefault="00217033" w:rsidP="00217033">
      <w:pPr>
        <w:pStyle w:val="NormalWeb"/>
        <w:spacing w:before="0" w:beforeAutospacing="0" w:after="0" w:afterAutospacing="0"/>
        <w:jc w:val="center"/>
        <w:rPr>
          <w:rFonts w:ascii="Arial" w:hAnsi="Arial" w:cs="Arial"/>
          <w:color w:val="000000"/>
          <w:sz w:val="26"/>
          <w:szCs w:val="26"/>
        </w:rPr>
      </w:pPr>
      <w:r>
        <w:rPr>
          <w:rFonts w:ascii="Arial" w:hAnsi="Arial" w:cs="Arial"/>
          <w:color w:val="000000"/>
          <w:sz w:val="26"/>
          <w:szCs w:val="26"/>
        </w:rPr>
        <w:t>Regional and Iowa (State) Information.</w:t>
      </w:r>
    </w:p>
    <w:p w:rsidR="004F1386" w:rsidRPr="004F1386" w:rsidRDefault="00217033" w:rsidP="00217033">
      <w:pPr>
        <w:pStyle w:val="NormalWeb"/>
        <w:spacing w:before="0" w:beforeAutospacing="0" w:after="0" w:afterAutospacing="0"/>
        <w:rPr>
          <w:rFonts w:ascii="Arial" w:hAnsi="Arial" w:cs="Arial"/>
          <w:color w:val="000000"/>
          <w:sz w:val="22"/>
          <w:szCs w:val="26"/>
        </w:rPr>
      </w:pPr>
      <w:r w:rsidRPr="004F1386">
        <w:rPr>
          <w:rFonts w:ascii="Arial" w:hAnsi="Arial" w:cs="Arial"/>
          <w:color w:val="000000"/>
          <w:sz w:val="22"/>
          <w:szCs w:val="26"/>
        </w:rPr>
        <w:t xml:space="preserve">Determine </w:t>
      </w:r>
      <w:r w:rsidR="004F1386" w:rsidRPr="004F1386">
        <w:rPr>
          <w:rFonts w:ascii="Arial" w:hAnsi="Arial" w:cs="Arial"/>
          <w:color w:val="000000"/>
          <w:sz w:val="22"/>
          <w:szCs w:val="26"/>
        </w:rPr>
        <w:t xml:space="preserve">Size and Scope of CTE Programs in place. </w:t>
      </w:r>
    </w:p>
    <w:p w:rsidR="00217033" w:rsidRPr="004F1386" w:rsidRDefault="004F1386" w:rsidP="00217033">
      <w:pPr>
        <w:pStyle w:val="NormalWeb"/>
        <w:spacing w:before="0" w:beforeAutospacing="0" w:after="0" w:afterAutospacing="0"/>
        <w:rPr>
          <w:sz w:val="20"/>
        </w:rPr>
      </w:pPr>
      <w:r w:rsidRPr="004F1386">
        <w:rPr>
          <w:rFonts w:ascii="Arial" w:hAnsi="Arial" w:cs="Arial"/>
          <w:color w:val="000000"/>
          <w:sz w:val="22"/>
          <w:szCs w:val="26"/>
        </w:rPr>
        <w:t xml:space="preserve">Review Labor market information related to each CTE program. </w:t>
      </w:r>
      <w:r w:rsidR="00217033" w:rsidRPr="004F1386">
        <w:rPr>
          <w:rFonts w:ascii="Arial" w:hAnsi="Arial" w:cs="Arial"/>
          <w:color w:val="000000"/>
          <w:sz w:val="22"/>
          <w:szCs w:val="26"/>
        </w:rPr>
        <w:t xml:space="preserve"> </w:t>
      </w:r>
      <w:r w:rsidR="007B332B" w:rsidRPr="004F1386">
        <w:rPr>
          <w:rFonts w:ascii="Arial" w:hAnsi="Arial" w:cs="Arial"/>
          <w:color w:val="000000"/>
          <w:sz w:val="22"/>
          <w:szCs w:val="26"/>
        </w:rPr>
        <w:t>–</w:t>
      </w:r>
      <w:r w:rsidR="00217033" w:rsidRPr="004F1386">
        <w:rPr>
          <w:rFonts w:ascii="Arial" w:hAnsi="Arial" w:cs="Arial"/>
          <w:color w:val="000000"/>
          <w:sz w:val="22"/>
          <w:szCs w:val="26"/>
        </w:rPr>
        <w:t xml:space="preserve">Iowa Workforce Development (IWD) </w:t>
      </w:r>
      <w:hyperlink r:id="rId5" w:history="1">
        <w:r w:rsidR="00217033" w:rsidRPr="004F1386">
          <w:rPr>
            <w:rFonts w:ascii="Arial" w:hAnsi="Arial" w:cs="Arial"/>
            <w:color w:val="0097A7"/>
            <w:sz w:val="22"/>
            <w:szCs w:val="26"/>
            <w:u w:val="single"/>
          </w:rPr>
          <w:t>Occupational Projections</w:t>
        </w:r>
      </w:hyperlink>
    </w:p>
    <w:p w:rsidR="00217033" w:rsidRPr="00217033" w:rsidRDefault="00217033" w:rsidP="00217033">
      <w:pPr>
        <w:spacing w:after="0" w:line="240" w:lineRule="auto"/>
        <w:rPr>
          <w:rFonts w:ascii="Times New Roman" w:eastAsia="Times New Roman" w:hAnsi="Times New Roman" w:cs="Times New Roman"/>
          <w:sz w:val="20"/>
          <w:szCs w:val="24"/>
        </w:rPr>
      </w:pPr>
    </w:p>
    <w:p w:rsidR="00217033" w:rsidRPr="004F1386" w:rsidRDefault="00217033" w:rsidP="00217033">
      <w:pPr>
        <w:pStyle w:val="ListParagraph"/>
        <w:numPr>
          <w:ilvl w:val="0"/>
          <w:numId w:val="1"/>
        </w:numPr>
        <w:spacing w:after="0" w:line="240" w:lineRule="auto"/>
        <w:rPr>
          <w:rFonts w:ascii="Times New Roman" w:eastAsia="Times New Roman" w:hAnsi="Times New Roman" w:cs="Times New Roman"/>
          <w:sz w:val="20"/>
          <w:szCs w:val="24"/>
        </w:rPr>
      </w:pPr>
      <w:r w:rsidRPr="004F1386">
        <w:rPr>
          <w:rFonts w:ascii="Arial" w:eastAsia="Times New Roman" w:hAnsi="Arial" w:cs="Arial"/>
          <w:color w:val="000000"/>
          <w:szCs w:val="26"/>
        </w:rPr>
        <w:t>Enter the first CTE Program into the table (See slide seven of PowerPoint for example)</w:t>
      </w:r>
    </w:p>
    <w:p w:rsidR="00217033" w:rsidRPr="004F1386" w:rsidRDefault="00217033" w:rsidP="00217033">
      <w:pPr>
        <w:pStyle w:val="ListParagraph"/>
        <w:numPr>
          <w:ilvl w:val="0"/>
          <w:numId w:val="1"/>
        </w:numPr>
        <w:spacing w:after="0" w:line="240" w:lineRule="auto"/>
        <w:rPr>
          <w:rFonts w:ascii="Times New Roman" w:eastAsia="Times New Roman" w:hAnsi="Times New Roman" w:cs="Times New Roman"/>
          <w:sz w:val="20"/>
          <w:szCs w:val="24"/>
        </w:rPr>
      </w:pPr>
      <w:r w:rsidRPr="004F1386">
        <w:rPr>
          <w:rFonts w:ascii="Arial" w:eastAsia="Times New Roman" w:hAnsi="Arial" w:cs="Arial"/>
          <w:color w:val="000000"/>
          <w:szCs w:val="26"/>
        </w:rPr>
        <w:t xml:space="preserve">“Select an Occupation” from the </w:t>
      </w:r>
      <w:hyperlink r:id="rId6" w:history="1">
        <w:r w:rsidRPr="004F1386">
          <w:rPr>
            <w:rFonts w:ascii="Arial" w:eastAsia="Times New Roman" w:hAnsi="Arial" w:cs="Arial"/>
            <w:color w:val="0097A7"/>
            <w:szCs w:val="26"/>
            <w:u w:val="single"/>
          </w:rPr>
          <w:t xml:space="preserve">Occupational Projections </w:t>
        </w:r>
      </w:hyperlink>
      <w:r w:rsidRPr="004F1386">
        <w:rPr>
          <w:rFonts w:ascii="Arial" w:eastAsia="Times New Roman" w:hAnsi="Arial" w:cs="Arial"/>
          <w:color w:val="000000"/>
          <w:szCs w:val="26"/>
        </w:rPr>
        <w:t>website. (begin typing occupation i.e., “auto” and website will populate relevant careers).</w:t>
      </w:r>
    </w:p>
    <w:p w:rsidR="00217033" w:rsidRPr="009E64DB" w:rsidRDefault="00217033" w:rsidP="00217033">
      <w:pPr>
        <w:pStyle w:val="ListParagraph"/>
        <w:numPr>
          <w:ilvl w:val="0"/>
          <w:numId w:val="1"/>
        </w:numPr>
        <w:spacing w:after="0" w:line="240" w:lineRule="auto"/>
        <w:rPr>
          <w:rFonts w:ascii="Times New Roman" w:eastAsia="Times New Roman" w:hAnsi="Times New Roman" w:cs="Times New Roman"/>
          <w:sz w:val="20"/>
          <w:szCs w:val="24"/>
        </w:rPr>
      </w:pPr>
      <w:r w:rsidRPr="004F1386">
        <w:rPr>
          <w:rFonts w:ascii="Arial" w:eastAsia="Times New Roman" w:hAnsi="Arial" w:cs="Arial"/>
          <w:color w:val="000000"/>
          <w:szCs w:val="26"/>
        </w:rPr>
        <w:t xml:space="preserve">When more than one is available (welding has two occupational codes), </w:t>
      </w:r>
      <w:r w:rsidR="00FE10B9">
        <w:rPr>
          <w:rFonts w:ascii="Arial" w:eastAsia="Times New Roman" w:hAnsi="Arial" w:cs="Arial"/>
          <w:color w:val="000000"/>
          <w:szCs w:val="26"/>
        </w:rPr>
        <w:t>include projections for</w:t>
      </w:r>
      <w:r w:rsidRPr="004F1386">
        <w:rPr>
          <w:rFonts w:ascii="Arial" w:eastAsia="Times New Roman" w:hAnsi="Arial" w:cs="Arial"/>
          <w:color w:val="000000"/>
          <w:szCs w:val="26"/>
        </w:rPr>
        <w:t xml:space="preserve"> all relevant occupations.</w:t>
      </w:r>
    </w:p>
    <w:p w:rsidR="009E64DB" w:rsidRDefault="009E64DB" w:rsidP="00217033">
      <w:pPr>
        <w:pStyle w:val="ListParagraph"/>
        <w:numPr>
          <w:ilvl w:val="0"/>
          <w:numId w:val="1"/>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When none are available, choose similar, or use the </w:t>
      </w:r>
      <w:hyperlink r:id="rId7" w:history="1">
        <w:r w:rsidRPr="009E64DB">
          <w:rPr>
            <w:rStyle w:val="Hyperlink"/>
            <w:rFonts w:ascii="Times New Roman" w:eastAsia="Times New Roman" w:hAnsi="Times New Roman" w:cs="Times New Roman"/>
            <w:sz w:val="20"/>
            <w:szCs w:val="24"/>
          </w:rPr>
          <w:t>Occupational Outlook Handbook</w:t>
        </w:r>
      </w:hyperlink>
      <w:r>
        <w:rPr>
          <w:rFonts w:ascii="Times New Roman" w:eastAsia="Times New Roman" w:hAnsi="Times New Roman" w:cs="Times New Roman"/>
          <w:sz w:val="20"/>
          <w:szCs w:val="24"/>
        </w:rPr>
        <w:t xml:space="preserve"> or </w:t>
      </w:r>
      <w:hyperlink r:id="rId8" w:history="1">
        <w:r w:rsidRPr="009E64DB">
          <w:rPr>
            <w:rStyle w:val="Hyperlink"/>
            <w:rFonts w:ascii="Times New Roman" w:eastAsia="Times New Roman" w:hAnsi="Times New Roman" w:cs="Times New Roman"/>
            <w:sz w:val="20"/>
            <w:szCs w:val="24"/>
          </w:rPr>
          <w:t>Bureau of Labor Statistics</w:t>
        </w:r>
      </w:hyperlink>
      <w:r>
        <w:rPr>
          <w:rFonts w:ascii="Times New Roman" w:eastAsia="Times New Roman" w:hAnsi="Times New Roman" w:cs="Times New Roman"/>
          <w:sz w:val="20"/>
          <w:szCs w:val="24"/>
        </w:rPr>
        <w:t xml:space="preserve"> </w:t>
      </w:r>
    </w:p>
    <w:p w:rsidR="00197940" w:rsidRDefault="00197940" w:rsidP="00217033">
      <w:pPr>
        <w:pStyle w:val="ListParagraph"/>
        <w:numPr>
          <w:ilvl w:val="0"/>
          <w:numId w:val="1"/>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Make this information relevant to your stakeholders by removing statewide projections or inserting starting wages if that’s the feedback you receive when you connect with business, industry, students, parents and other relevant parties.  </w:t>
      </w:r>
    </w:p>
    <w:p w:rsidR="00197940" w:rsidRPr="004F1386" w:rsidRDefault="00197940" w:rsidP="00217033">
      <w:pPr>
        <w:pStyle w:val="ListParagraph"/>
        <w:numPr>
          <w:ilvl w:val="0"/>
          <w:numId w:val="1"/>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Contact </w:t>
      </w:r>
      <w:hyperlink r:id="rId9" w:history="1">
        <w:r w:rsidRPr="00197940">
          <w:rPr>
            <w:rStyle w:val="Hyperlink"/>
            <w:rFonts w:ascii="Times New Roman" w:eastAsia="Times New Roman" w:hAnsi="Times New Roman" w:cs="Times New Roman"/>
            <w:sz w:val="20"/>
            <w:szCs w:val="24"/>
          </w:rPr>
          <w:t>Amy Vybiral</w:t>
        </w:r>
      </w:hyperlink>
      <w:r>
        <w:rPr>
          <w:rFonts w:ascii="Times New Roman" w:eastAsia="Times New Roman" w:hAnsi="Times New Roman" w:cs="Times New Roman"/>
          <w:sz w:val="20"/>
          <w:szCs w:val="24"/>
        </w:rPr>
        <w:t xml:space="preserve"> with additional questions or when you need assistance. </w:t>
      </w:r>
    </w:p>
    <w:p w:rsidR="00402482" w:rsidRDefault="00402482"/>
    <w:tbl>
      <w:tblPr>
        <w:tblW w:w="5000" w:type="pct"/>
        <w:shd w:val="clear" w:color="auto" w:fill="FFF1E8"/>
        <w:tblCellMar>
          <w:top w:w="15" w:type="dxa"/>
          <w:left w:w="15" w:type="dxa"/>
          <w:bottom w:w="15" w:type="dxa"/>
          <w:right w:w="15" w:type="dxa"/>
        </w:tblCellMar>
        <w:tblLook w:val="04A0" w:firstRow="1" w:lastRow="0" w:firstColumn="1" w:lastColumn="0" w:noHBand="0" w:noVBand="1"/>
      </w:tblPr>
      <w:tblGrid>
        <w:gridCol w:w="2167"/>
        <w:gridCol w:w="1514"/>
        <w:gridCol w:w="2470"/>
        <w:gridCol w:w="2022"/>
        <w:gridCol w:w="1625"/>
        <w:gridCol w:w="1910"/>
        <w:gridCol w:w="2672"/>
      </w:tblGrid>
      <w:tr w:rsidR="00D90A03" w:rsidRPr="00217033" w:rsidTr="007F62FC">
        <w:trPr>
          <w:trHeight w:val="765"/>
        </w:trPr>
        <w:tc>
          <w:tcPr>
            <w:tcW w:w="753" w:type="pct"/>
            <w:tcBorders>
              <w:top w:val="single" w:sz="8" w:space="0" w:color="FFFFFF"/>
              <w:left w:val="single" w:sz="8" w:space="0" w:color="FFFFFF"/>
              <w:bottom w:val="single" w:sz="8" w:space="0" w:color="FFFFFF"/>
              <w:right w:val="single" w:sz="8" w:space="0" w:color="0097A7"/>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jc w:val="center"/>
              <w:rPr>
                <w:rFonts w:eastAsia="Times New Roman" w:cstheme="minorHAnsi"/>
                <w:color w:val="FFFFFF"/>
                <w:sz w:val="20"/>
                <w:szCs w:val="20"/>
              </w:rPr>
            </w:pPr>
            <w:r w:rsidRPr="0000192B">
              <w:rPr>
                <w:rFonts w:eastAsia="Times New Roman" w:cstheme="minorHAnsi"/>
                <w:color w:val="FFFFFF"/>
                <w:sz w:val="20"/>
                <w:szCs w:val="20"/>
                <w:u w:val="single"/>
              </w:rPr>
              <w:t>CTE Program</w:t>
            </w:r>
            <w:r w:rsidRPr="0000192B">
              <w:rPr>
                <w:rFonts w:eastAsia="Times New Roman" w:cstheme="minorHAnsi"/>
                <w:color w:val="FFFFFF"/>
                <w:sz w:val="20"/>
                <w:szCs w:val="20"/>
              </w:rPr>
              <w:t xml:space="preserve"> and CIP</w:t>
            </w:r>
          </w:p>
          <w:p w:rsidR="00D90A03" w:rsidRPr="0000192B" w:rsidRDefault="00591F66" w:rsidP="00217033">
            <w:pPr>
              <w:spacing w:after="0" w:line="240" w:lineRule="auto"/>
              <w:jc w:val="center"/>
              <w:rPr>
                <w:rFonts w:eastAsia="Times New Roman" w:cstheme="minorHAnsi"/>
                <w:color w:val="9CC2E5" w:themeColor="accent5" w:themeTint="99"/>
                <w:sz w:val="20"/>
                <w:szCs w:val="20"/>
              </w:rPr>
            </w:pPr>
            <w:hyperlink r:id="rId10" w:history="1">
              <w:r w:rsidR="00D90A03" w:rsidRPr="0000192B">
                <w:rPr>
                  <w:rStyle w:val="Hyperlink"/>
                  <w:rFonts w:eastAsia="Times New Roman" w:cstheme="minorHAnsi"/>
                  <w:color w:val="9CC2E5" w:themeColor="accent5" w:themeTint="99"/>
                  <w:sz w:val="20"/>
                  <w:szCs w:val="20"/>
                </w:rPr>
                <w:t>SCTERA</w:t>
              </w:r>
            </w:hyperlink>
          </w:p>
          <w:p w:rsidR="00D90A03" w:rsidRPr="0000192B" w:rsidRDefault="00591F66" w:rsidP="00217033">
            <w:pPr>
              <w:spacing w:after="0" w:line="240" w:lineRule="auto"/>
              <w:jc w:val="center"/>
              <w:rPr>
                <w:rFonts w:eastAsia="Times New Roman" w:cstheme="minorHAnsi"/>
                <w:sz w:val="20"/>
                <w:szCs w:val="20"/>
              </w:rPr>
            </w:pPr>
            <w:hyperlink r:id="rId11" w:history="1">
              <w:r w:rsidR="00D90A03" w:rsidRPr="0000192B">
                <w:rPr>
                  <w:rStyle w:val="Hyperlink"/>
                  <w:rFonts w:eastAsia="Times New Roman" w:cstheme="minorHAnsi"/>
                  <w:color w:val="9CC2E5" w:themeColor="accent5" w:themeTint="99"/>
                  <w:sz w:val="20"/>
                  <w:szCs w:val="20"/>
                </w:rPr>
                <w:t>STICS</w:t>
              </w:r>
            </w:hyperlink>
          </w:p>
        </w:tc>
        <w:tc>
          <w:tcPr>
            <w:tcW w:w="526" w:type="pct"/>
            <w:tcBorders>
              <w:top w:val="single" w:sz="8" w:space="0" w:color="0097A7"/>
              <w:left w:val="single" w:sz="8" w:space="0" w:color="0097A7"/>
              <w:bottom w:val="single" w:sz="24" w:space="0" w:color="0097A7"/>
              <w:right w:val="single" w:sz="8" w:space="0" w:color="0097A7"/>
            </w:tcBorders>
            <w:shd w:val="clear" w:color="auto" w:fill="00717D"/>
            <w:tcMar>
              <w:top w:w="0" w:type="dxa"/>
              <w:left w:w="105" w:type="dxa"/>
              <w:bottom w:w="0" w:type="dxa"/>
              <w:right w:w="105" w:type="dxa"/>
            </w:tcMar>
            <w:vAlign w:val="bottom"/>
            <w:hideMark/>
          </w:tcPr>
          <w:p w:rsidR="00D90A03" w:rsidRDefault="00D90A03" w:rsidP="00D36E72">
            <w:pPr>
              <w:spacing w:after="0" w:line="240" w:lineRule="auto"/>
              <w:jc w:val="center"/>
              <w:rPr>
                <w:rFonts w:eastAsia="Times New Roman" w:cstheme="minorHAnsi"/>
                <w:color w:val="FFFFFF"/>
                <w:sz w:val="20"/>
                <w:szCs w:val="20"/>
              </w:rPr>
            </w:pPr>
            <w:r>
              <w:rPr>
                <w:rFonts w:eastAsia="Times New Roman" w:cstheme="minorHAnsi"/>
                <w:color w:val="FFFFFF"/>
                <w:sz w:val="20"/>
                <w:szCs w:val="20"/>
              </w:rPr>
              <w:t>Iowa</w:t>
            </w:r>
          </w:p>
          <w:p w:rsidR="00D90A03" w:rsidRPr="0000192B" w:rsidRDefault="00D90A03" w:rsidP="00D36E72">
            <w:pPr>
              <w:spacing w:after="0" w:line="240" w:lineRule="auto"/>
              <w:jc w:val="center"/>
              <w:rPr>
                <w:rFonts w:eastAsia="Times New Roman" w:cstheme="minorHAnsi"/>
                <w:sz w:val="20"/>
                <w:szCs w:val="20"/>
              </w:rPr>
            </w:pPr>
            <w:r w:rsidRPr="0000192B">
              <w:rPr>
                <w:rFonts w:eastAsia="Times New Roman" w:cstheme="minorHAnsi"/>
                <w:color w:val="FFFFFF"/>
                <w:sz w:val="20"/>
                <w:szCs w:val="20"/>
              </w:rPr>
              <w:t>Annual Openings</w:t>
            </w:r>
          </w:p>
        </w:tc>
        <w:tc>
          <w:tcPr>
            <w:tcW w:w="859" w:type="pct"/>
            <w:tcBorders>
              <w:top w:val="single" w:sz="8" w:space="0" w:color="0097A7"/>
              <w:left w:val="single" w:sz="8" w:space="0" w:color="0097A7"/>
              <w:bottom w:val="single" w:sz="24" w:space="0" w:color="0097A7"/>
              <w:right w:val="single" w:sz="8" w:space="0" w:color="0097A7"/>
            </w:tcBorders>
            <w:shd w:val="clear" w:color="auto" w:fill="00717D"/>
            <w:tcMar>
              <w:top w:w="0" w:type="dxa"/>
              <w:left w:w="105" w:type="dxa"/>
              <w:bottom w:w="0" w:type="dxa"/>
              <w:right w:w="105" w:type="dxa"/>
            </w:tcMar>
            <w:vAlign w:val="bottom"/>
            <w:hideMark/>
          </w:tcPr>
          <w:p w:rsidR="00D90A03" w:rsidRPr="0000192B" w:rsidRDefault="00D90A03" w:rsidP="00D36E72">
            <w:pPr>
              <w:spacing w:after="0" w:line="240" w:lineRule="auto"/>
              <w:jc w:val="center"/>
              <w:rPr>
                <w:rFonts w:eastAsia="Times New Roman" w:cstheme="minorHAnsi"/>
                <w:sz w:val="20"/>
                <w:szCs w:val="20"/>
              </w:rPr>
            </w:pPr>
            <w:r w:rsidRPr="0000192B">
              <w:rPr>
                <w:rFonts w:eastAsia="Times New Roman" w:cstheme="minorHAnsi"/>
                <w:color w:val="FFFFFF"/>
                <w:sz w:val="20"/>
                <w:szCs w:val="20"/>
              </w:rPr>
              <w:t>Statewide Projected Employed by 2030</w:t>
            </w:r>
          </w:p>
        </w:tc>
        <w:tc>
          <w:tcPr>
            <w:tcW w:w="703" w:type="pct"/>
            <w:tcBorders>
              <w:top w:val="single" w:sz="8" w:space="0" w:color="0097A7"/>
              <w:left w:val="single" w:sz="8" w:space="0" w:color="0097A7"/>
              <w:bottom w:val="single" w:sz="24" w:space="0" w:color="0097A7"/>
              <w:right w:val="single" w:sz="8" w:space="0" w:color="0097A7"/>
            </w:tcBorders>
            <w:shd w:val="clear" w:color="auto" w:fill="00717D"/>
            <w:tcMar>
              <w:top w:w="0" w:type="dxa"/>
              <w:left w:w="105" w:type="dxa"/>
              <w:bottom w:w="0" w:type="dxa"/>
              <w:right w:w="105" w:type="dxa"/>
            </w:tcMar>
            <w:vAlign w:val="bottom"/>
            <w:hideMark/>
          </w:tcPr>
          <w:p w:rsidR="00D90A03" w:rsidRPr="0000192B" w:rsidRDefault="00D90A03" w:rsidP="00D36E72">
            <w:pPr>
              <w:spacing w:after="0" w:line="240" w:lineRule="auto"/>
              <w:jc w:val="center"/>
              <w:rPr>
                <w:rFonts w:eastAsia="Times New Roman" w:cstheme="minorHAnsi"/>
                <w:sz w:val="20"/>
                <w:szCs w:val="20"/>
              </w:rPr>
            </w:pPr>
            <w:r w:rsidRPr="0000192B">
              <w:rPr>
                <w:rFonts w:eastAsia="Times New Roman" w:cstheme="minorHAnsi"/>
                <w:color w:val="FFFFFF"/>
                <w:sz w:val="20"/>
                <w:szCs w:val="20"/>
              </w:rPr>
              <w:t>Regional Annual Openings</w:t>
            </w:r>
          </w:p>
        </w:tc>
        <w:tc>
          <w:tcPr>
            <w:tcW w:w="565" w:type="pct"/>
            <w:tcBorders>
              <w:top w:val="single" w:sz="8" w:space="0" w:color="0097A7"/>
              <w:left w:val="single" w:sz="8" w:space="0" w:color="0097A7"/>
              <w:bottom w:val="single" w:sz="24" w:space="0" w:color="0097A7"/>
              <w:right w:val="single" w:sz="8" w:space="0" w:color="0097A7"/>
            </w:tcBorders>
            <w:shd w:val="clear" w:color="auto" w:fill="00717D"/>
            <w:tcMar>
              <w:top w:w="0" w:type="dxa"/>
              <w:left w:w="105" w:type="dxa"/>
              <w:bottom w:w="0" w:type="dxa"/>
              <w:right w:w="105" w:type="dxa"/>
            </w:tcMar>
            <w:vAlign w:val="bottom"/>
            <w:hideMark/>
          </w:tcPr>
          <w:p w:rsidR="00D90A03" w:rsidRPr="0000192B" w:rsidRDefault="00D90A03" w:rsidP="00D36E72">
            <w:pPr>
              <w:spacing w:after="0" w:line="240" w:lineRule="auto"/>
              <w:jc w:val="center"/>
              <w:rPr>
                <w:rFonts w:eastAsia="Times New Roman" w:cstheme="minorHAnsi"/>
                <w:sz w:val="20"/>
                <w:szCs w:val="20"/>
              </w:rPr>
            </w:pPr>
            <w:r w:rsidRPr="0000192B">
              <w:rPr>
                <w:rFonts w:eastAsia="Times New Roman" w:cstheme="minorHAnsi"/>
                <w:color w:val="FFFFFF"/>
                <w:sz w:val="20"/>
                <w:szCs w:val="20"/>
              </w:rPr>
              <w:t>Average Wage</w:t>
            </w:r>
          </w:p>
        </w:tc>
        <w:tc>
          <w:tcPr>
            <w:tcW w:w="664" w:type="pct"/>
            <w:tcBorders>
              <w:top w:val="single" w:sz="8" w:space="0" w:color="0097A7"/>
              <w:left w:val="single" w:sz="8" w:space="0" w:color="0097A7"/>
              <w:bottom w:val="single" w:sz="24" w:space="0" w:color="0097A7"/>
              <w:right w:val="single" w:sz="8" w:space="0" w:color="0097A7"/>
            </w:tcBorders>
            <w:shd w:val="clear" w:color="auto" w:fill="00717D"/>
            <w:tcMar>
              <w:top w:w="0" w:type="dxa"/>
              <w:left w:w="105" w:type="dxa"/>
              <w:bottom w:w="0" w:type="dxa"/>
              <w:right w:w="105" w:type="dxa"/>
            </w:tcMar>
            <w:vAlign w:val="bottom"/>
            <w:hideMark/>
          </w:tcPr>
          <w:p w:rsidR="00D90A03" w:rsidRPr="0000192B" w:rsidRDefault="00D90A03" w:rsidP="00D36E72">
            <w:pPr>
              <w:spacing w:after="0" w:line="240" w:lineRule="auto"/>
              <w:jc w:val="center"/>
              <w:rPr>
                <w:rFonts w:eastAsia="Times New Roman" w:cstheme="minorHAnsi"/>
                <w:sz w:val="20"/>
                <w:szCs w:val="20"/>
              </w:rPr>
            </w:pPr>
            <w:r w:rsidRPr="0000192B">
              <w:rPr>
                <w:rFonts w:eastAsia="Times New Roman" w:cstheme="minorHAnsi"/>
                <w:color w:val="FFFFFF"/>
                <w:sz w:val="20"/>
                <w:szCs w:val="20"/>
              </w:rPr>
              <w:t>Entry-Level Education</w:t>
            </w:r>
          </w:p>
        </w:tc>
        <w:tc>
          <w:tcPr>
            <w:tcW w:w="929" w:type="pct"/>
            <w:tcBorders>
              <w:top w:val="single" w:sz="8" w:space="0" w:color="FFFFFF"/>
              <w:left w:val="single" w:sz="8" w:space="0" w:color="0097A7"/>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591F66" w:rsidP="00D36E72">
            <w:pPr>
              <w:spacing w:after="0" w:line="240" w:lineRule="auto"/>
              <w:jc w:val="center"/>
              <w:rPr>
                <w:rFonts w:eastAsia="Times New Roman" w:cstheme="minorHAnsi"/>
                <w:sz w:val="20"/>
                <w:szCs w:val="20"/>
              </w:rPr>
            </w:pPr>
            <w:hyperlink r:id="rId12" w:history="1">
              <w:r w:rsidR="00D90A03" w:rsidRPr="0000192B">
                <w:rPr>
                  <w:rStyle w:val="Hyperlink"/>
                  <w:rFonts w:eastAsia="Times New Roman" w:cstheme="minorHAnsi"/>
                  <w:b/>
                  <w:bCs/>
                  <w:color w:val="9CC2E5" w:themeColor="accent5" w:themeTint="99"/>
                  <w:sz w:val="20"/>
                  <w:szCs w:val="20"/>
                </w:rPr>
                <w:t>Registered Apprenticeships</w:t>
              </w:r>
            </w:hyperlink>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Agriculture General </w:t>
            </w:r>
          </w:p>
        </w:tc>
        <w:tc>
          <w:tcPr>
            <w:tcW w:w="526" w:type="pct"/>
            <w:tcBorders>
              <w:top w:val="single" w:sz="24" w:space="0" w:color="0097A7"/>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24" w:space="0" w:color="0097A7"/>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24" w:space="0" w:color="0097A7"/>
              <w:left w:val="single" w:sz="8" w:space="0" w:color="FFFFFF"/>
              <w:bottom w:val="single" w:sz="8" w:space="0" w:color="0097A7"/>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24" w:space="0" w:color="0097A7"/>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24" w:space="0" w:color="0097A7"/>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bookmarkStart w:id="0" w:name="_GoBack"/>
        <w:bookmarkEnd w:id="0"/>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Auto Mechanics Tech</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0097A7"/>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0097A7"/>
              <w:left w:val="single" w:sz="8" w:space="0" w:color="0097A7"/>
              <w:bottom w:val="single" w:sz="8" w:space="0" w:color="0097A7"/>
              <w:right w:val="single" w:sz="8" w:space="0" w:color="0097A7"/>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0097A7"/>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Business General</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0097A7"/>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Computer Programming</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Construction Trades</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Criminal Justice/Police</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Drafting Design Engineering</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9E64D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Family and Community Serv.</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9E64D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Health Services</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r w:rsidR="00D90A03" w:rsidRPr="00217033" w:rsidTr="009E64DB">
        <w:trPr>
          <w:trHeight w:val="255"/>
        </w:trPr>
        <w:tc>
          <w:tcPr>
            <w:tcW w:w="75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217033">
            <w:pPr>
              <w:spacing w:after="0" w:line="240" w:lineRule="auto"/>
              <w:rPr>
                <w:rFonts w:eastAsia="Times New Roman" w:cstheme="minorHAnsi"/>
                <w:color w:val="FFFFFF" w:themeColor="background1"/>
                <w:sz w:val="20"/>
                <w:szCs w:val="20"/>
              </w:rPr>
            </w:pPr>
            <w:r w:rsidRPr="0000192B">
              <w:rPr>
                <w:rFonts w:eastAsia="Times New Roman" w:cstheme="minorHAnsi"/>
                <w:color w:val="FFFFFF" w:themeColor="background1"/>
                <w:sz w:val="20"/>
                <w:szCs w:val="20"/>
              </w:rPr>
              <w:t>Manufacturing Tech</w:t>
            </w:r>
          </w:p>
        </w:tc>
        <w:tc>
          <w:tcPr>
            <w:tcW w:w="526"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85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7F62FC">
            <w:pPr>
              <w:spacing w:after="0" w:line="240" w:lineRule="auto"/>
              <w:jc w:val="center"/>
              <w:rPr>
                <w:rFonts w:eastAsia="Times New Roman" w:cstheme="minorHAnsi"/>
                <w:color w:val="FFFFFF" w:themeColor="background1"/>
                <w:sz w:val="20"/>
                <w:szCs w:val="20"/>
              </w:rPr>
            </w:pPr>
          </w:p>
        </w:tc>
        <w:tc>
          <w:tcPr>
            <w:tcW w:w="703"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565"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664"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c>
          <w:tcPr>
            <w:tcW w:w="929" w:type="pct"/>
            <w:tcBorders>
              <w:top w:val="single" w:sz="8" w:space="0" w:color="FFFFFF"/>
              <w:left w:val="single" w:sz="8" w:space="0" w:color="FFFFFF"/>
              <w:bottom w:val="single" w:sz="8" w:space="0" w:color="FFFFFF"/>
              <w:right w:val="single" w:sz="8" w:space="0" w:color="FFFFFF"/>
            </w:tcBorders>
            <w:shd w:val="clear" w:color="auto" w:fill="00717D"/>
            <w:tcMar>
              <w:top w:w="15" w:type="dxa"/>
              <w:left w:w="15" w:type="dxa"/>
              <w:bottom w:w="0" w:type="dxa"/>
              <w:right w:w="15" w:type="dxa"/>
            </w:tcMar>
            <w:vAlign w:val="bottom"/>
            <w:hideMark/>
          </w:tcPr>
          <w:p w:rsidR="00D90A03" w:rsidRPr="0000192B" w:rsidRDefault="00D90A03" w:rsidP="00D36E72">
            <w:pPr>
              <w:spacing w:after="0" w:line="240" w:lineRule="auto"/>
              <w:jc w:val="center"/>
              <w:rPr>
                <w:rFonts w:eastAsia="Times New Roman" w:cstheme="minorHAnsi"/>
                <w:color w:val="FFFFFF" w:themeColor="background1"/>
                <w:sz w:val="20"/>
                <w:szCs w:val="20"/>
              </w:rPr>
            </w:pPr>
          </w:p>
        </w:tc>
      </w:tr>
    </w:tbl>
    <w:p w:rsidR="00217033" w:rsidRDefault="00217033"/>
    <w:sectPr w:rsidR="00217033" w:rsidSect="002170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2C49"/>
    <w:multiLevelType w:val="hybridMultilevel"/>
    <w:tmpl w:val="535E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33"/>
    <w:rsid w:val="0000192B"/>
    <w:rsid w:val="00044F48"/>
    <w:rsid w:val="000E6655"/>
    <w:rsid w:val="00197940"/>
    <w:rsid w:val="00200DC5"/>
    <w:rsid w:val="00217033"/>
    <w:rsid w:val="003D0CA3"/>
    <w:rsid w:val="003F6B7C"/>
    <w:rsid w:val="00402482"/>
    <w:rsid w:val="004F1386"/>
    <w:rsid w:val="00591F66"/>
    <w:rsid w:val="007B332B"/>
    <w:rsid w:val="007D5C0D"/>
    <w:rsid w:val="007F62FC"/>
    <w:rsid w:val="008F2B16"/>
    <w:rsid w:val="00953197"/>
    <w:rsid w:val="009E64DB"/>
    <w:rsid w:val="00B234A9"/>
    <w:rsid w:val="00C36368"/>
    <w:rsid w:val="00D36E72"/>
    <w:rsid w:val="00D90A03"/>
    <w:rsid w:val="00DC70A7"/>
    <w:rsid w:val="00FD3709"/>
    <w:rsid w:val="00FE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61B1"/>
  <w15:chartTrackingRefBased/>
  <w15:docId w15:val="{00573985-9E78-4634-8796-DBB7CF1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033"/>
    <w:rPr>
      <w:color w:val="0000FF"/>
      <w:u w:val="single"/>
    </w:rPr>
  </w:style>
  <w:style w:type="character" w:styleId="UnresolvedMention">
    <w:name w:val="Unresolved Mention"/>
    <w:basedOn w:val="DefaultParagraphFont"/>
    <w:uiPriority w:val="99"/>
    <w:semiHidden/>
    <w:unhideWhenUsed/>
    <w:rsid w:val="00217033"/>
    <w:rPr>
      <w:color w:val="605E5C"/>
      <w:shd w:val="clear" w:color="auto" w:fill="E1DFDD"/>
    </w:rPr>
  </w:style>
  <w:style w:type="paragraph" w:styleId="ListParagraph">
    <w:name w:val="List Paragraph"/>
    <w:basedOn w:val="Normal"/>
    <w:uiPriority w:val="34"/>
    <w:qFormat/>
    <w:rsid w:val="00217033"/>
    <w:pPr>
      <w:ind w:left="720"/>
      <w:contextualSpacing/>
    </w:pPr>
  </w:style>
  <w:style w:type="character" w:styleId="FollowedHyperlink">
    <w:name w:val="FollowedHyperlink"/>
    <w:basedOn w:val="DefaultParagraphFont"/>
    <w:uiPriority w:val="99"/>
    <w:semiHidden/>
    <w:unhideWhenUsed/>
    <w:rsid w:val="00D36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7008">
      <w:bodyDiv w:val="1"/>
      <w:marLeft w:val="0"/>
      <w:marRight w:val="0"/>
      <w:marTop w:val="0"/>
      <w:marBottom w:val="0"/>
      <w:divBdr>
        <w:top w:val="none" w:sz="0" w:space="0" w:color="auto"/>
        <w:left w:val="none" w:sz="0" w:space="0" w:color="auto"/>
        <w:bottom w:val="none" w:sz="0" w:space="0" w:color="auto"/>
        <w:right w:val="none" w:sz="0" w:space="0" w:color="auto"/>
      </w:divBdr>
    </w:div>
    <w:div w:id="12790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e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oh/" TargetMode="External"/><Relationship Id="rId12" Type="http://schemas.openxmlformats.org/officeDocument/2006/relationships/hyperlink" Target="https://workforce.iowa.gov/opportunities/ra/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iowa.gov/labor-market-information/occupations/occupational-projections/data" TargetMode="External"/><Relationship Id="rId11" Type="http://schemas.openxmlformats.org/officeDocument/2006/relationships/hyperlink" Target="https://iowastics.com/" TargetMode="External"/><Relationship Id="rId5" Type="http://schemas.openxmlformats.org/officeDocument/2006/relationships/hyperlink" Target="https://workforce.iowa.gov/labor-market-information/occupations/occupational-projections/data" TargetMode="External"/><Relationship Id="rId10" Type="http://schemas.openxmlformats.org/officeDocument/2006/relationships/hyperlink" Target="https://portal.ed.iowa.gov/iowalandingpage/landing.aspx" TargetMode="External"/><Relationship Id="rId4" Type="http://schemas.openxmlformats.org/officeDocument/2006/relationships/webSettings" Target="webSettings.xml"/><Relationship Id="rId9" Type="http://schemas.openxmlformats.org/officeDocument/2006/relationships/hyperlink" Target="mailto:amy.vybiral@io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1746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Vybiral, Amy [IDOE]</dc:creator>
  <cp:keywords/>
  <dc:description/>
  <cp:lastModifiedBy>Albers, Lisa [IDOE]</cp:lastModifiedBy>
  <cp:revision>2</cp:revision>
  <dcterms:created xsi:type="dcterms:W3CDTF">2024-03-15T12:34:00Z</dcterms:created>
  <dcterms:modified xsi:type="dcterms:W3CDTF">2024-03-15T12:34:00Z</dcterms:modified>
</cp:coreProperties>
</file>