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E04" w:rsidRDefault="00FF5FC4">
      <w:pPr>
        <w:tabs>
          <w:tab w:val="right" w:pos="10800"/>
        </w:tabs>
        <w:spacing w:after="360"/>
        <w:ind w:left="0"/>
        <w:rPr>
          <w:b/>
          <w:color w:val="001F38"/>
          <w:sz w:val="24"/>
          <w:szCs w:val="24"/>
        </w:rPr>
      </w:pPr>
      <w:r>
        <w:rPr>
          <w:b/>
          <w:color w:val="002A4B"/>
          <w:sz w:val="24"/>
          <w:szCs w:val="24"/>
        </w:rPr>
        <w:t>June 6</w:t>
      </w:r>
      <w:r w:rsidR="00DD3CE9">
        <w:rPr>
          <w:b/>
          <w:color w:val="002A4B"/>
          <w:sz w:val="24"/>
          <w:szCs w:val="24"/>
        </w:rPr>
        <w:t>, 2023</w:t>
      </w:r>
    </w:p>
    <w:p w:rsidR="00D16E04" w:rsidRDefault="00DD3CE9">
      <w:pPr>
        <w:pStyle w:val="Heading1"/>
      </w:pPr>
      <w:r>
        <w:t>Blending IEP and ICAP: Assessment Tool</w:t>
      </w:r>
    </w:p>
    <w:p w:rsidR="00D16E04" w:rsidRDefault="00DD3CE9">
      <w:pPr>
        <w:pStyle w:val="Heading2"/>
      </w:pPr>
      <w:r>
        <w:t>Purpose</w:t>
      </w:r>
    </w:p>
    <w:p w:rsidR="00D16E04" w:rsidRDefault="00DD3CE9">
      <w:r>
        <w:t>The purpose of the Blending IEP and ICAP: Assessment Tool is to provide a platform to bolster district DCAP work surrounding the connection between the district career and academic plan (DCAP) and students’ ICAP and IEP process by highlighting areas of con</w:t>
      </w:r>
      <w:r>
        <w:t>sideration and development of questions for school districts to evaluate progress and guide in action planning.</w:t>
      </w:r>
    </w:p>
    <w:p w:rsidR="00D16E04" w:rsidRDefault="00DD3CE9">
      <w:pPr>
        <w:pStyle w:val="Heading2"/>
      </w:pPr>
      <w:r>
        <w:t>How to Use the Tool</w:t>
      </w:r>
    </w:p>
    <w:p w:rsidR="00D16E04" w:rsidRDefault="00DD3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District teams should evaluate each section included in this tool and indicate their current level of implementation. </w:t>
      </w:r>
    </w:p>
    <w:p w:rsidR="00D16E04" w:rsidRDefault="00DD3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Teams</w:t>
      </w:r>
      <w:r>
        <w:rPr>
          <w:color w:val="000000"/>
        </w:rPr>
        <w:t xml:space="preserve"> should then reflect on current practices and how connected they are to implementation of ICAP for all students within the IEP process. </w:t>
      </w:r>
    </w:p>
    <w:p w:rsidR="00D16E04" w:rsidRDefault="00DD3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Once evaluated, the team should move towards greater ICAP implementation and action planning to strengthen the district</w:t>
      </w:r>
      <w:r>
        <w:rPr>
          <w:color w:val="000000"/>
        </w:rPr>
        <w:t xml:space="preserve"> support for each student’s ICAP. The goal is to create a meaningful, student </w:t>
      </w:r>
      <w:r>
        <w:t>centered</w:t>
      </w:r>
      <w:r>
        <w:rPr>
          <w:color w:val="000000"/>
        </w:rPr>
        <w:t xml:space="preserve"> ICAP process for all students in grades 8-12. Action steps should be recorded for implementation.</w:t>
      </w:r>
    </w:p>
    <w:p w:rsidR="00D16E04" w:rsidRDefault="00DD3CE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Teams should begin their action planning process in areas that are mark</w:t>
      </w:r>
      <w:r>
        <w:rPr>
          <w:color w:val="000000"/>
        </w:rPr>
        <w:t>ed as not considered or beginning and work towards action planning for all areas for full implementation.</w:t>
      </w:r>
    </w:p>
    <w:tbl>
      <w:tblPr>
        <w:tblStyle w:val="a"/>
        <w:tblW w:w="1393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2510"/>
        <w:gridCol w:w="11420"/>
      </w:tblGrid>
      <w:tr w:rsidR="00D16E04" w:rsidRPr="007046C6" w:rsidTr="00D16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0" w:type="dxa"/>
            <w:tcBorders>
              <w:right w:val="single" w:sz="4" w:space="0" w:color="FFFFFF"/>
            </w:tcBorders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Level</w:t>
            </w:r>
          </w:p>
        </w:tc>
        <w:tc>
          <w:tcPr>
            <w:tcW w:w="11420" w:type="dxa"/>
            <w:tcBorders>
              <w:left w:val="single" w:sz="4" w:space="0" w:color="FFFFFF"/>
              <w:right w:val="single" w:sz="4" w:space="0" w:color="FFFFFF"/>
            </w:tcBorders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Definition</w:t>
            </w:r>
          </w:p>
        </w:tc>
      </w:tr>
      <w:tr w:rsidR="00D16E04" w:rsidRPr="007046C6" w:rsidTr="00D16E04">
        <w:tc>
          <w:tcPr>
            <w:tcW w:w="251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 Considered</w:t>
            </w:r>
          </w:p>
        </w:tc>
        <w:tc>
          <w:tcPr>
            <w:tcW w:w="1142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The district has not yet considered this area in the connection of ICAP and the IEP process</w:t>
            </w:r>
          </w:p>
        </w:tc>
      </w:tr>
      <w:tr w:rsidR="00D16E04" w:rsidRPr="007046C6" w:rsidTr="00D16E04">
        <w:tc>
          <w:tcPr>
            <w:tcW w:w="251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</w:tc>
        <w:tc>
          <w:tcPr>
            <w:tcW w:w="1142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District has not started or is just starting to consider and implement these practices</w:t>
            </w:r>
          </w:p>
        </w:tc>
      </w:tr>
      <w:tr w:rsidR="00D16E04" w:rsidRPr="007046C6" w:rsidTr="00D16E04">
        <w:tc>
          <w:tcPr>
            <w:tcW w:w="251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</w:tc>
        <w:tc>
          <w:tcPr>
            <w:tcW w:w="1142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District has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implemented some of these practices 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but 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is limited to individual educators</w:t>
            </w:r>
          </w:p>
        </w:tc>
      </w:tr>
      <w:tr w:rsidR="00D16E04" w:rsidRPr="007046C6" w:rsidTr="00D16E04">
        <w:tc>
          <w:tcPr>
            <w:tcW w:w="251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11420" w:type="dxa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District has developed a systematic approach that prov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ides a strong platform for implementation and connection of ICAP incorporation for all students</w:t>
            </w:r>
          </w:p>
        </w:tc>
      </w:tr>
    </w:tbl>
    <w:p w:rsidR="00D16E04" w:rsidRDefault="00D16E04"/>
    <w:p w:rsidR="00D16E04" w:rsidRDefault="00DD3CE9">
      <w:pPr>
        <w:spacing w:line="276" w:lineRule="auto"/>
        <w:ind w:left="0"/>
      </w:pPr>
      <w:r>
        <w:br w:type="page"/>
      </w:r>
    </w:p>
    <w:p w:rsidR="00D16E04" w:rsidRDefault="00DD3CE9">
      <w:pPr>
        <w:pStyle w:val="Heading2"/>
        <w:spacing w:before="0"/>
      </w:pPr>
      <w:r>
        <w:lastRenderedPageBreak/>
        <w:t>ICAP Concentrator 1: System Evaluation</w:t>
      </w:r>
    </w:p>
    <w:tbl>
      <w:tblPr>
        <w:tblStyle w:val="a0"/>
        <w:tblW w:w="13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1610"/>
        <w:gridCol w:w="6835"/>
        <w:gridCol w:w="1800"/>
        <w:gridCol w:w="3690"/>
      </w:tblGrid>
      <w:tr w:rsidR="00D16E04" w:rsidRPr="007046C6" w:rsidTr="00704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610" w:type="dxa"/>
            <w:tcBorders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</w:rPr>
            </w:pPr>
            <w:r w:rsidRPr="007046C6">
              <w:rPr>
                <w:rFonts w:asciiTheme="majorHAnsi" w:hAnsiTheme="majorHAnsi" w:cstheme="majorHAnsi"/>
              </w:rPr>
              <w:t>Theme</w:t>
            </w:r>
          </w:p>
        </w:tc>
        <w:tc>
          <w:tcPr>
            <w:tcW w:w="6835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</w:rPr>
            </w:pPr>
            <w:r w:rsidRPr="007046C6">
              <w:rPr>
                <w:rFonts w:asciiTheme="majorHAnsi" w:hAnsiTheme="majorHAnsi" w:cstheme="majorHAnsi"/>
              </w:rPr>
              <w:t>Focused Team Discussion</w:t>
            </w:r>
          </w:p>
        </w:tc>
        <w:tc>
          <w:tcPr>
            <w:tcW w:w="1800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</w:rPr>
            </w:pPr>
            <w:r w:rsidRPr="007046C6">
              <w:rPr>
                <w:rFonts w:asciiTheme="majorHAnsi" w:hAnsiTheme="majorHAnsi" w:cstheme="majorHAnsi"/>
              </w:rPr>
              <w:t>Internal Rating</w:t>
            </w:r>
          </w:p>
        </w:tc>
        <w:tc>
          <w:tcPr>
            <w:tcW w:w="3690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</w:rPr>
            </w:pPr>
            <w:r w:rsidRPr="007046C6">
              <w:rPr>
                <w:rFonts w:asciiTheme="majorHAnsi" w:hAnsiTheme="majorHAnsi" w:cstheme="majorHAnsi"/>
              </w:rPr>
              <w:t>Action Plan</w:t>
            </w:r>
          </w:p>
        </w:tc>
      </w:tr>
      <w:tr w:rsidR="00D16E04" w:rsidRPr="007046C6" w:rsidTr="007046C6">
        <w:tc>
          <w:tcPr>
            <w:tcW w:w="161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Data Analysis</w:t>
            </w:r>
          </w:p>
        </w:tc>
        <w:tc>
          <w:tcPr>
            <w:tcW w:w="6835" w:type="dxa"/>
            <w:vAlign w:val="top"/>
          </w:tcPr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Students with IEPS are consistently represented in data elements reviewed by teams in the system evaluation process. Action planning addresses disproportionalities observed in data.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Postsecondary early warning indicators</w:t>
            </w:r>
            <w:r w:rsidRPr="007046C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footnoteReference w:id="1"/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 are evaluated yearly. 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Course sequence opportunities including access and enrollment in CTE sequence are evaluated. </w:t>
            </w:r>
          </w:p>
          <w:p w:rsidR="00D16E04" w:rsidRPr="007046C6" w:rsidRDefault="00DD3CE9" w:rsidP="007046C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Students eligible for concurrent enrollment coursework are identified and enrolled based upon postsecondary goals.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0"/>
                <w:id w:val="-1522237105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"/>
                <w:id w:val="148020063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2"/>
                <w:id w:val="-324128462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3"/>
                <w:id w:val="-1545131236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Advancing</w:t>
            </w:r>
          </w:p>
        </w:tc>
        <w:tc>
          <w:tcPr>
            <w:tcW w:w="3690" w:type="dxa"/>
            <w:vAlign w:val="top"/>
          </w:tcPr>
          <w:p w:rsidR="00D16E04" w:rsidRPr="007046C6" w:rsidRDefault="00D16E0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16E04" w:rsidRPr="007046C6" w:rsidTr="007046C6">
        <w:tc>
          <w:tcPr>
            <w:tcW w:w="161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Postsecondary Readiness</w:t>
            </w:r>
          </w:p>
        </w:tc>
        <w:tc>
          <w:tcPr>
            <w:tcW w:w="6835" w:type="dxa"/>
            <w:vAlign w:val="top"/>
          </w:tcPr>
          <w:p w:rsidR="00D16E04" w:rsidRPr="007046C6" w:rsidRDefault="00DD3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IEP student postsecondary intent including, postsecondary goals/planning, enrollment, remedial and persistence rates, are reviewed each year; gap action planning is implemented.</w:t>
            </w:r>
          </w:p>
          <w:p w:rsidR="00D16E04" w:rsidRPr="007046C6" w:rsidRDefault="00DD3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Number of students that engage in postsecondary action planning</w:t>
            </w:r>
            <w:r w:rsidRPr="007046C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footnoteReference w:id="2"/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 is analyzed for potential support needs.</w:t>
            </w:r>
          </w:p>
          <w:p w:rsidR="00D16E04" w:rsidRPr="007046C6" w:rsidRDefault="00DD3CE9" w:rsidP="007046C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District resources and support efforts rooted in data are used to support postsecondary readiness for all students; action planning is implemented fol</w:t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lowing data analysis.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4"/>
                <w:id w:val="367573186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5"/>
                <w:id w:val="1077874658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6"/>
                <w:id w:val="-1549224212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7"/>
                <w:id w:val="-487322107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Advancing</w:t>
            </w:r>
          </w:p>
        </w:tc>
        <w:tc>
          <w:tcPr>
            <w:tcW w:w="3690" w:type="dxa"/>
            <w:vAlign w:val="top"/>
          </w:tcPr>
          <w:p w:rsidR="00D16E04" w:rsidRPr="007046C6" w:rsidRDefault="00D16E0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16E04" w:rsidRPr="007046C6" w:rsidTr="007046C6">
        <w:tc>
          <w:tcPr>
            <w:tcW w:w="161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District Staff Professional Learning</w:t>
            </w:r>
          </w:p>
        </w:tc>
        <w:tc>
          <w:tcPr>
            <w:tcW w:w="6835" w:type="dxa"/>
            <w:vAlign w:val="top"/>
          </w:tcPr>
          <w:p w:rsidR="00D16E04" w:rsidRPr="007046C6" w:rsidRDefault="00DD3CE9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Professional learning around ICAP, postsecondary readiness and employability skill development is provided and supported by district/administrators.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Time to analyze postsecondary readiness data points are prioritized for staff to develop a clear vision for</w:t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 student ICAP development and postsecondary goals.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School leaders are involved in data analysis with a focus on student postsecondary indicators; district messaging is present for supporting all students.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Professional development is provided for all staff to collaborate efficiently with IEP team and processes.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8"/>
                <w:id w:val="536931236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9"/>
                <w:id w:val="191466214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0"/>
                <w:id w:val="-495345841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1"/>
                <w:id w:val="-339469278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Advancing</w:t>
            </w:r>
          </w:p>
        </w:tc>
        <w:tc>
          <w:tcPr>
            <w:tcW w:w="3690" w:type="dxa"/>
            <w:vAlign w:val="top"/>
          </w:tcPr>
          <w:p w:rsidR="00D16E04" w:rsidRPr="007046C6" w:rsidRDefault="00D16E0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16E04" w:rsidRPr="007046C6" w:rsidTr="007046C6">
        <w:tc>
          <w:tcPr>
            <w:tcW w:w="161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Identify and Address Barriers</w:t>
            </w:r>
            <w:r w:rsidRPr="007046C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6835" w:type="dxa"/>
            <w:vAlign w:val="top"/>
          </w:tcPr>
          <w:p w:rsidR="00D16E04" w:rsidRPr="007046C6" w:rsidRDefault="00DD3CE9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Systematic approaches are used to identify and address </w:t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barriers</w:t>
            </w:r>
            <w:r w:rsidRPr="007046C6">
              <w:rPr>
                <w:rFonts w:asciiTheme="majorHAnsi" w:hAnsiTheme="majorHAnsi" w:cstheme="majorHAnsi"/>
                <w:sz w:val="22"/>
                <w:szCs w:val="22"/>
                <w:vertAlign w:val="superscript"/>
              </w:rPr>
              <w:t>3</w:t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 each year.</w:t>
            </w:r>
          </w:p>
          <w:p w:rsidR="00D16E04" w:rsidRPr="007046C6" w:rsidRDefault="00DD3CE9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System-wide expectations for student success and connection to rigor are in place.</w:t>
            </w:r>
          </w:p>
          <w:p w:rsidR="00D16E04" w:rsidRPr="007046C6" w:rsidRDefault="00DD3CE9">
            <w:pPr>
              <w:numPr>
                <w:ilvl w:val="0"/>
                <w:numId w:val="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Equity gaps; review of data indicates that all students are accessing postsecondary at a similar rate and with a similar level of success.</w:t>
            </w:r>
          </w:p>
          <w:p w:rsidR="00D16E04" w:rsidRPr="007046C6" w:rsidRDefault="00DD3CE9">
            <w:pPr>
              <w:numPr>
                <w:ilvl w:val="0"/>
                <w:numId w:val="4"/>
              </w:numPr>
              <w:spacing w:after="200"/>
              <w:rPr>
                <w:rFonts w:asciiTheme="majorHAnsi" w:hAnsiTheme="majorHAnsi" w:cstheme="majorHAnsi"/>
                <w:sz w:val="22"/>
                <w:szCs w:val="22"/>
              </w:rPr>
            </w:pP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Students have</w:t>
            </w:r>
            <w:r w:rsidRPr="007046C6">
              <w:rPr>
                <w:rFonts w:asciiTheme="majorHAnsi" w:hAnsiTheme="majorHAnsi" w:cstheme="majorHAnsi"/>
                <w:sz w:val="22"/>
                <w:szCs w:val="22"/>
              </w:rPr>
              <w:t xml:space="preserve"> access to general education coursework specifically in core areas, concurrent enrollment coursework and CTE concentrators that support postsecondary student goals.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2"/>
                <w:id w:val="-1575578742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3"/>
                <w:id w:val="1765887079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4"/>
                <w:id w:val="1824005720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  <w:sdt>
              <w:sdtPr>
                <w:rPr>
                  <w:rFonts w:asciiTheme="majorHAnsi" w:hAnsiTheme="majorHAnsi" w:cstheme="majorHAnsi"/>
                  <w:sz w:val="22"/>
                  <w:szCs w:val="22"/>
                </w:rPr>
                <w:tag w:val="goog_rdk_15"/>
                <w:id w:val="1469859403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ajorHAnsi" w:eastAsia="Arial Unicode MS" w:hAnsiTheme="majorHAnsi" w:cstheme="maj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ajorHAnsi" w:hAnsiTheme="majorHAnsi" w:cstheme="majorHAnsi"/>
                <w:sz w:val="22"/>
                <w:szCs w:val="22"/>
              </w:rPr>
              <w:t>Advancing</w:t>
            </w:r>
          </w:p>
        </w:tc>
        <w:tc>
          <w:tcPr>
            <w:tcW w:w="3690" w:type="dxa"/>
            <w:vAlign w:val="top"/>
          </w:tcPr>
          <w:p w:rsidR="00D16E04" w:rsidRPr="007046C6" w:rsidRDefault="00D16E04">
            <w:pPr>
              <w:ind w:left="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D16E04" w:rsidRDefault="00D16E04"/>
    <w:p w:rsidR="00D16E04" w:rsidRDefault="00DD3CE9">
      <w:pPr>
        <w:pStyle w:val="Heading2"/>
      </w:pPr>
      <w:r>
        <w:lastRenderedPageBreak/>
        <w:t>ICAP Concentrator 2: DCAP Implem</w:t>
      </w:r>
      <w:r>
        <w:t>entation.</w:t>
      </w:r>
    </w:p>
    <w:tbl>
      <w:tblPr>
        <w:tblStyle w:val="a1"/>
        <w:tblW w:w="13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1430"/>
        <w:gridCol w:w="7020"/>
        <w:gridCol w:w="1800"/>
        <w:gridCol w:w="3685"/>
      </w:tblGrid>
      <w:tr w:rsidR="00D16E04" w:rsidRPr="007046C6" w:rsidTr="00D16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30" w:type="dxa"/>
            <w:tcBorders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Theme</w:t>
            </w:r>
          </w:p>
        </w:tc>
        <w:tc>
          <w:tcPr>
            <w:tcW w:w="7020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Focused Team Discussion</w:t>
            </w:r>
          </w:p>
        </w:tc>
        <w:tc>
          <w:tcPr>
            <w:tcW w:w="1800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Internal Rating</w:t>
            </w:r>
          </w:p>
        </w:tc>
        <w:tc>
          <w:tcPr>
            <w:tcW w:w="3685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Action Plan</w:t>
            </w:r>
          </w:p>
        </w:tc>
      </w:tr>
      <w:tr w:rsidR="00D16E04" w:rsidRPr="007046C6" w:rsidTr="00D16E04">
        <w:trPr>
          <w:cantSplit/>
        </w:trPr>
        <w:tc>
          <w:tcPr>
            <w:tcW w:w="143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Connection to School Counselor</w:t>
            </w:r>
          </w:p>
        </w:tc>
        <w:tc>
          <w:tcPr>
            <w:tcW w:w="7020" w:type="dxa"/>
            <w:vAlign w:val="top"/>
          </w:tcPr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Postsecondary planning process is connected to the school counselor(s) for wrap-around support including development and implementation of postsecondary transition goals and referral/connection to community support services. 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Parent/guardian and student co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mmunication is provided that targets opportunities including financial aid, WBL, CTSO, course options, future ready skill incorporation, ICAP experiences and any potential. opportunities that would support the student’s postsecondary planning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Provides acce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ss to resources</w:t>
            </w:r>
            <w:r w:rsidRPr="007046C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4"/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that support postsecondary planning for all students.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School counselors have a basic understanding of the Iowa Secondary Transition Model.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eading=h.gjdgxs" w:colFirst="0" w:colLast="0"/>
            <w:bookmarkEnd w:id="0"/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School counselors are able to support the </w:t>
            </w:r>
            <w:hyperlink r:id="rId8">
              <w:r w:rsidRPr="007046C6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Secondary Transition Model/SDI Framework</w:t>
              </w:r>
            </w:hyperlink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planning process by identifying and working with the team to address concerns related to the student’s postsecondary expectatio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ns and intentions.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16"/>
                <w:id w:val="265968927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17"/>
                <w:id w:val="-98755089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18"/>
                <w:id w:val="1121659636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19"/>
                <w:id w:val="873205249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3685" w:type="dxa"/>
            <w:vAlign w:val="top"/>
          </w:tcPr>
          <w:p w:rsidR="00D16E04" w:rsidRPr="007046C6" w:rsidRDefault="00D16E04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E04" w:rsidRPr="007046C6" w:rsidTr="00D16E04">
        <w:trPr>
          <w:cantSplit/>
        </w:trPr>
        <w:tc>
          <w:tcPr>
            <w:tcW w:w="143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Sequencing ICAP and Course Planning</w:t>
            </w:r>
          </w:p>
        </w:tc>
        <w:tc>
          <w:tcPr>
            <w:tcW w:w="7020" w:type="dxa"/>
            <w:vAlign w:val="top"/>
          </w:tcPr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ICAP sequencing/activities encourages students to consider larger career 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clusters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and pathway exploration.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Embedded WBL opportunities are included in student course planning; WBL is tied to student indicated pathway(s) of interest.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Review of postsecondary education and training requirements is present in the course selection process to increase student access. 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Communication with parents/guardians includes focus on how student’s IEP course planning is connected to ICAP.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Consideration is given to when/how ICAP is implemented within the school day to ensure that all students have access.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0"/>
                <w:id w:val="-201252018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1"/>
                <w:id w:val="-117141057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2"/>
                <w:id w:val="-78542343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3"/>
                <w:id w:val="-1845153099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3685" w:type="dxa"/>
            <w:vAlign w:val="top"/>
          </w:tcPr>
          <w:p w:rsidR="00D16E04" w:rsidRPr="007046C6" w:rsidRDefault="00D16E04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E04" w:rsidRPr="007046C6" w:rsidTr="00D16E04">
        <w:trPr>
          <w:cantSplit/>
        </w:trPr>
        <w:tc>
          <w:tcPr>
            <w:tcW w:w="143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DCAP Team</w:t>
            </w:r>
          </w:p>
        </w:tc>
        <w:tc>
          <w:tcPr>
            <w:tcW w:w="7020" w:type="dxa"/>
            <w:vAlign w:val="top"/>
          </w:tcPr>
          <w:p w:rsidR="00D16E04" w:rsidRPr="007046C6" w:rsidRDefault="00DD3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Vision for student ICAP access and participation are effectively communicated internally.</w:t>
            </w:r>
          </w:p>
          <w:p w:rsidR="00D16E04" w:rsidRPr="007046C6" w:rsidRDefault="00DD3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The DCAP team uses ICAP participation data to make informed decisions in planning for sustainable expansion that includes looking for and addressing implementation gaps. </w:t>
            </w:r>
          </w:p>
          <w:p w:rsidR="00D16E04" w:rsidRPr="007046C6" w:rsidRDefault="00DD3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Special education voice is included on the DCAP team.</w:t>
            </w:r>
          </w:p>
          <w:p w:rsidR="00D16E04" w:rsidRPr="007046C6" w:rsidRDefault="00DD3CE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All students have access to car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eer development lessons embedded in the general education setting.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4"/>
                <w:id w:val="-1527244983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5"/>
                <w:id w:val="-1498957682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6"/>
                <w:id w:val="-2065707730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7"/>
                <w:id w:val="-91039140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3685" w:type="dxa"/>
            <w:vAlign w:val="top"/>
          </w:tcPr>
          <w:p w:rsidR="00D16E04" w:rsidRPr="007046C6" w:rsidRDefault="00D16E04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E04" w:rsidRPr="007046C6" w:rsidTr="00D16E04">
        <w:trPr>
          <w:cantSplit/>
        </w:trPr>
        <w:tc>
          <w:tcPr>
            <w:tcW w:w="143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Secondary Transition Planning Process</w:t>
            </w:r>
          </w:p>
        </w:tc>
        <w:tc>
          <w:tcPr>
            <w:tcW w:w="7020" w:type="dxa"/>
            <w:vAlign w:val="top"/>
          </w:tcPr>
          <w:p w:rsidR="00D16E04" w:rsidRPr="007046C6" w:rsidRDefault="00DD3C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hyperlink r:id="rId9">
              <w:r w:rsidRPr="007046C6">
                <w:rPr>
                  <w:rFonts w:asciiTheme="minorHAnsi" w:hAnsiTheme="minorHAnsi" w:cstheme="minorHAnsi"/>
                  <w:color w:val="1155CC"/>
                  <w:sz w:val="22"/>
                  <w:szCs w:val="22"/>
                  <w:u w:val="single"/>
                </w:rPr>
                <w:t>Iowa Secondary Transition Model/SDI Framework</w:t>
              </w:r>
            </w:hyperlink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is used to guide secondary transition planning starting in 8th grade for optimum opportunities to address individualized needs.</w:t>
            </w:r>
          </w:p>
          <w:p w:rsidR="00D16E04" w:rsidRPr="007046C6" w:rsidRDefault="00DD3C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Students are encouraged to pursue an academically rigorous course of study that is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aligned with their individual postsecondary expectations and goals.</w:t>
            </w:r>
          </w:p>
          <w:p w:rsidR="00D16E04" w:rsidRPr="007046C6" w:rsidRDefault="00DD3C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All applicable postsecondary summary resources are considered in the process and included in secondary transition planning within the IEP process. </w:t>
            </w:r>
          </w:p>
          <w:p w:rsidR="00D16E04" w:rsidRPr="007046C6" w:rsidRDefault="00DD3CE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Students and families understand how to access and apply for disability support at the postsecondary level.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8"/>
                <w:id w:val="-2024000089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29"/>
                <w:id w:val="-1995252301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0"/>
                <w:id w:val="-2106801872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1"/>
                <w:id w:val="-1284186591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3685" w:type="dxa"/>
            <w:vAlign w:val="top"/>
          </w:tcPr>
          <w:p w:rsidR="00D16E04" w:rsidRPr="007046C6" w:rsidRDefault="00D16E04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16E04" w:rsidRDefault="00D16E04"/>
    <w:p w:rsidR="00D16E04" w:rsidRDefault="00DD3CE9">
      <w:pPr>
        <w:spacing w:line="276" w:lineRule="auto"/>
        <w:ind w:left="0"/>
      </w:pPr>
      <w:r>
        <w:br w:type="page"/>
      </w:r>
    </w:p>
    <w:p w:rsidR="00D16E04" w:rsidRDefault="00DD3CE9">
      <w:pPr>
        <w:pStyle w:val="Heading2"/>
      </w:pPr>
      <w:r>
        <w:lastRenderedPageBreak/>
        <w:t>ICAP Concentrator 3: IEP and ICAP Connected Implementation within IEP Process</w:t>
      </w:r>
    </w:p>
    <w:tbl>
      <w:tblPr>
        <w:tblStyle w:val="a2"/>
        <w:tblW w:w="139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</w:tblPr>
      <w:tblGrid>
        <w:gridCol w:w="1430"/>
        <w:gridCol w:w="7020"/>
        <w:gridCol w:w="1800"/>
        <w:gridCol w:w="3685"/>
      </w:tblGrid>
      <w:tr w:rsidR="00D16E04" w:rsidRPr="007046C6" w:rsidTr="00D16E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30" w:type="dxa"/>
            <w:tcBorders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Theme</w:t>
            </w:r>
          </w:p>
        </w:tc>
        <w:tc>
          <w:tcPr>
            <w:tcW w:w="7020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Focused Team Discussion</w:t>
            </w:r>
          </w:p>
        </w:tc>
        <w:tc>
          <w:tcPr>
            <w:tcW w:w="1800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Internal Rating</w:t>
            </w:r>
          </w:p>
        </w:tc>
        <w:tc>
          <w:tcPr>
            <w:tcW w:w="3685" w:type="dxa"/>
            <w:tcBorders>
              <w:left w:val="single" w:sz="4" w:space="0" w:color="FFFFFF"/>
              <w:right w:val="single" w:sz="4" w:space="0" w:color="FFFFFF"/>
            </w:tcBorders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</w:rPr>
            </w:pPr>
            <w:r w:rsidRPr="007046C6">
              <w:rPr>
                <w:rFonts w:asciiTheme="minorHAnsi" w:hAnsiTheme="minorHAnsi" w:cstheme="minorHAnsi"/>
              </w:rPr>
              <w:t>Action Plan</w:t>
            </w:r>
          </w:p>
        </w:tc>
      </w:tr>
      <w:tr w:rsidR="00D16E04" w:rsidRPr="007046C6" w:rsidTr="00D16E04">
        <w:tc>
          <w:tcPr>
            <w:tcW w:w="143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Course of Study: Courses and Activities</w:t>
            </w:r>
          </w:p>
        </w:tc>
        <w:tc>
          <w:tcPr>
            <w:tcW w:w="7020" w:type="dxa"/>
            <w:vAlign w:val="top"/>
          </w:tcPr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Clear connection is present to incorporate student’s postsecondary goals into 4-year course planning and annual IEP meetings.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Course of study focus is based on pos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tsecondary intentions and student expressed goals to include Senior Year Plus and concurrent enrollment opportunities.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Work-based learning experiences, CTE course sequence and CTSO options are explored and encouraged based upon student goals.</w:t>
            </w:r>
          </w:p>
          <w:p w:rsidR="00D16E04" w:rsidRPr="007046C6" w:rsidRDefault="00DD3CE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Communication with parents/guardians surrounding ICAP and course planning is clear, scaffolded, and encourages families to become involved in their student’s ICAP.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2"/>
                <w:id w:val="91057531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3"/>
                <w:id w:val="1532769695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4"/>
                <w:id w:val="1504322666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5"/>
                <w:id w:val="1398248076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3685" w:type="dxa"/>
            <w:vAlign w:val="top"/>
          </w:tcPr>
          <w:p w:rsidR="00D16E04" w:rsidRPr="007046C6" w:rsidRDefault="00D16E04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6E04" w:rsidRPr="007046C6" w:rsidTr="00D16E04">
        <w:tc>
          <w:tcPr>
            <w:tcW w:w="143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ICAP 5 Essential Components</w:t>
            </w:r>
          </w:p>
        </w:tc>
        <w:tc>
          <w:tcPr>
            <w:tcW w:w="7020" w:type="dxa"/>
            <w:vAlign w:val="top"/>
          </w:tcPr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Results/outcome information from the 5 essential components are reviewed and included in living, learning and working planning to support student strengths, interests, preferences.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The ICAP Essential Components are prioritized for incorporation into the IE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 process to include goal setting, exploration of multiple postsecondary pathways, reflection and at minimum tied to transition goal setting.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The district’s grade level outcomes for each of the 5 essential components are embedded into each student’s course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 of study, activities, and services.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 xml:space="preserve">The Iowa Secondary Transition Model is used to identify discrepancies and address individual support needs related to ICAP experiences. </w:t>
            </w:r>
          </w:p>
          <w:p w:rsidR="00D16E04" w:rsidRPr="007046C6" w:rsidRDefault="00DD3CE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District career information system (CIS) materials and ICAP activities are differe</w:t>
            </w:r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ntiated based upon individual student’s accommodations and modifications.</w:t>
            </w:r>
          </w:p>
        </w:tc>
        <w:tc>
          <w:tcPr>
            <w:tcW w:w="1800" w:type="dxa"/>
            <w:vAlign w:val="top"/>
          </w:tcPr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6"/>
                <w:id w:val="1960827198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Not Yet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7"/>
                <w:id w:val="-1932038612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Beginning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8"/>
                <w:id w:val="-255902167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Progressing</w:t>
            </w:r>
          </w:p>
          <w:p w:rsidR="00D16E04" w:rsidRPr="007046C6" w:rsidRDefault="00DD3CE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tag w:val="goog_rdk_39"/>
                <w:id w:val="201605294"/>
              </w:sdtPr>
              <w:sdtEndPr/>
              <w:sdtContent>
                <w:r w:rsidRPr="007046C6">
                  <w:rPr>
                    <w:rFonts w:ascii="Segoe UI Symbol" w:eastAsia="Arial Unicode MS" w:hAnsi="Segoe UI Symbol" w:cs="Segoe UI Symbol"/>
                    <w:sz w:val="22"/>
                    <w:szCs w:val="22"/>
                  </w:rPr>
                  <w:t>☐</w:t>
                </w:r>
                <w:r w:rsidRPr="007046C6"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  <w:t xml:space="preserve"> </w:t>
                </w:r>
              </w:sdtContent>
            </w:sdt>
            <w:r w:rsidRPr="007046C6">
              <w:rPr>
                <w:rFonts w:asciiTheme="minorHAnsi" w:hAnsiTheme="minorHAnsi" w:cstheme="minorHAnsi"/>
                <w:sz w:val="22"/>
                <w:szCs w:val="22"/>
              </w:rPr>
              <w:t>Advancing</w:t>
            </w:r>
          </w:p>
        </w:tc>
        <w:tc>
          <w:tcPr>
            <w:tcW w:w="3685" w:type="dxa"/>
            <w:vAlign w:val="top"/>
          </w:tcPr>
          <w:p w:rsidR="00D16E04" w:rsidRPr="007046C6" w:rsidRDefault="00D16E04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16E04" w:rsidRDefault="00D16E04" w:rsidP="007046C6">
      <w:pPr>
        <w:ind w:left="0"/>
      </w:pPr>
      <w:bookmarkStart w:id="1" w:name="_GoBack"/>
      <w:bookmarkEnd w:id="1"/>
    </w:p>
    <w:sectPr w:rsidR="00D16E04">
      <w:headerReference w:type="default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990" w:bottom="720" w:left="900" w:header="540" w:footer="4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CE9" w:rsidRDefault="00DD3CE9">
      <w:pPr>
        <w:spacing w:after="0"/>
      </w:pPr>
      <w:r>
        <w:separator/>
      </w:r>
    </w:p>
  </w:endnote>
  <w:endnote w:type="continuationSeparator" w:id="0">
    <w:p w:rsidR="00DD3CE9" w:rsidRDefault="00DD3C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04" w:rsidRDefault="00DD3CE9" w:rsidP="007046C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3950"/>
      </w:tabs>
      <w:spacing w:after="0"/>
      <w:ind w:left="0"/>
      <w:jc w:val="right"/>
      <w:rPr>
        <w:i/>
        <w:color w:val="222222"/>
        <w:sz w:val="16"/>
        <w:szCs w:val="16"/>
        <w:highlight w:val="white"/>
      </w:rPr>
    </w:pPr>
    <w:r>
      <w:rPr>
        <w:color w:val="000000"/>
        <w:sz w:val="16"/>
        <w:szCs w:val="16"/>
      </w:rPr>
      <w:t xml:space="preserve">Page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 w:rsidR="00FF5FC4">
      <w:rPr>
        <w:color w:val="000000"/>
        <w:sz w:val="16"/>
        <w:szCs w:val="16"/>
      </w:rPr>
      <w:fldChar w:fldCharType="separate"/>
    </w:r>
    <w:r w:rsidR="00FF5FC4">
      <w:rPr>
        <w:noProof/>
        <w:color w:val="000000"/>
        <w:sz w:val="16"/>
        <w:szCs w:val="16"/>
      </w:rPr>
      <w:t>1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04" w:rsidRDefault="00DD3C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3860"/>
      </w:tabs>
      <w:spacing w:after="0"/>
      <w:ind w:left="0"/>
      <w:rPr>
        <w:i/>
        <w:color w:val="222222"/>
        <w:sz w:val="16"/>
        <w:szCs w:val="16"/>
        <w:highlight w:val="white"/>
      </w:rPr>
    </w:pPr>
    <w:r>
      <w:rPr>
        <w:i/>
        <w:color w:val="222222"/>
        <w:sz w:val="16"/>
        <w:szCs w:val="16"/>
        <w:highlight w:val="white"/>
      </w:rPr>
      <w:tab/>
    </w:r>
    <w:r>
      <w:rPr>
        <w:color w:val="000000"/>
        <w:sz w:val="16"/>
        <w:szCs w:val="16"/>
      </w:rPr>
      <w:t xml:space="preserve">Page | </w:t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</w:t>
    </w:r>
  </w:p>
  <w:p w:rsidR="00D16E04" w:rsidRDefault="00D16E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CE9" w:rsidRDefault="00DD3CE9">
      <w:pPr>
        <w:spacing w:after="0"/>
      </w:pPr>
      <w:r>
        <w:separator/>
      </w:r>
    </w:p>
  </w:footnote>
  <w:footnote w:type="continuationSeparator" w:id="0">
    <w:p w:rsidR="00DD3CE9" w:rsidRDefault="00DD3CE9">
      <w:pPr>
        <w:spacing w:after="0"/>
      </w:pPr>
      <w:r>
        <w:continuationSeparator/>
      </w:r>
    </w:p>
  </w:footnote>
  <w:footnote w:id="1">
    <w:p w:rsidR="00D16E04" w:rsidRDefault="00DD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Early warning indicators c</w:t>
      </w:r>
      <w:r>
        <w:rPr>
          <w:color w:val="000000"/>
          <w:sz w:val="20"/>
          <w:szCs w:val="20"/>
        </w:rPr>
        <w:t xml:space="preserve">an include but </w:t>
      </w:r>
      <w:r>
        <w:rPr>
          <w:sz w:val="20"/>
          <w:szCs w:val="20"/>
        </w:rPr>
        <w:t>are not</w:t>
      </w:r>
      <w:r>
        <w:rPr>
          <w:color w:val="000000"/>
          <w:sz w:val="20"/>
          <w:szCs w:val="20"/>
        </w:rPr>
        <w:t xml:space="preserve"> limited to GPA, attendance, course failure, math and literacy sequence and grade level scores, postsecondary admission or placement test scores and statewide testing measures.</w:t>
      </w:r>
    </w:p>
  </w:footnote>
  <w:footnote w:id="2">
    <w:p w:rsidR="00D16E04" w:rsidRDefault="00DD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Postsecondary action planning can</w:t>
      </w:r>
      <w:r>
        <w:rPr>
          <w:color w:val="000000"/>
          <w:sz w:val="20"/>
          <w:szCs w:val="20"/>
        </w:rPr>
        <w:t xml:space="preserve"> include but is not limited to: campus visits, participation in WBL opportunities, </w:t>
      </w:r>
      <w:r>
        <w:rPr>
          <w:sz w:val="20"/>
          <w:szCs w:val="20"/>
        </w:rPr>
        <w:t>connecting</w:t>
      </w:r>
      <w:r>
        <w:rPr>
          <w:color w:val="000000"/>
          <w:sz w:val="20"/>
          <w:szCs w:val="20"/>
        </w:rPr>
        <w:t xml:space="preserve"> with admissions representative(s), placement or admission tests completed, submission of college application(s), FAFSA completion, scholarship applications, think</w:t>
      </w:r>
      <w:r>
        <w:rPr>
          <w:color w:val="000000"/>
          <w:sz w:val="20"/>
          <w:szCs w:val="20"/>
        </w:rPr>
        <w:t>ing about postsecondary before 10th grade, supportive adult engagement.</w:t>
      </w:r>
    </w:p>
  </w:footnote>
  <w:footnote w:id="3">
    <w:p w:rsidR="00D16E04" w:rsidRDefault="00DD3CE9">
      <w:pPr>
        <w:spacing w:after="0"/>
        <w:ind w:firstLine="173"/>
        <w:rPr>
          <w:sz w:val="20"/>
          <w:szCs w:val="20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Barriers can include but are not limited to scheduling issues, teacher perspective, administration support, availability of CTE sequence options, core course placement tied to postsecondary goals, parent/guardian involvement, access to resources and infor</w:t>
      </w:r>
      <w:r>
        <w:rPr>
          <w:sz w:val="20"/>
          <w:szCs w:val="20"/>
        </w:rPr>
        <w:t>mation to support postsecondary planning including transportation, clothing and employability and executive functioning skills.</w:t>
      </w:r>
    </w:p>
  </w:footnote>
  <w:footnote w:id="4">
    <w:p w:rsidR="00D16E04" w:rsidRDefault="00DD3CE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0"/>
          <w:szCs w:val="20"/>
        </w:rPr>
      </w:pPr>
      <w:r>
        <w:rPr>
          <w:rStyle w:val="FootnoteReference"/>
        </w:rPr>
        <w:footnoteRef/>
      </w:r>
      <w:r>
        <w:rPr>
          <w:color w:val="000000"/>
          <w:sz w:val="20"/>
          <w:szCs w:val="20"/>
        </w:rPr>
        <w:t xml:space="preserve"> Test prep materials, application/testing waivers, admission/application/scholarship information, NCAA/NAIA requirements, summer melt opportunities, industry connections.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04" w:rsidRDefault="007046C6">
    <w:pPr>
      <w:pBdr>
        <w:top w:val="nil"/>
        <w:left w:val="nil"/>
        <w:bottom w:val="nil"/>
        <w:right w:val="nil"/>
        <w:between w:val="nil"/>
      </w:pBdr>
      <w:ind w:left="360" w:hanging="270"/>
      <w:rPr>
        <w:b/>
        <w:color w:val="002A4B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7867015</wp:posOffset>
          </wp:positionH>
          <wp:positionV relativeFrom="paragraph">
            <wp:posOffset>-142875</wp:posOffset>
          </wp:positionV>
          <wp:extent cx="707390" cy="707390"/>
          <wp:effectExtent l="0" t="0" r="0" b="0"/>
          <wp:wrapNone/>
          <wp:docPr id="14" name="image1.png" descr="Iowa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owa Department of Education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3CE9">
      <w:rPr>
        <w:noProof/>
        <w:color w:val="000000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margin">
                <wp:posOffset>-672619</wp:posOffset>
              </wp:positionV>
              <wp:extent cx="8787765" cy="297180"/>
              <wp:effectExtent l="0" t="0" r="0" b="0"/>
              <wp:wrapNone/>
              <wp:docPr id="11" name="Rectangle 11" descr="blue box" title="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636173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D16E04" w:rsidRDefault="00D16E04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-4761</wp:posOffset>
              </wp:positionH>
              <wp:positionV relativeFrom="margin">
                <wp:posOffset>-672619</wp:posOffset>
              </wp:positionV>
              <wp:extent cx="8787765" cy="297180"/>
              <wp:effectExtent b="0" l="0" r="0" t="0"/>
              <wp:wrapNone/>
              <wp:docPr descr="blue box" id="11" name="image4.png"/>
              <a:graphic>
                <a:graphicData uri="http://schemas.openxmlformats.org/drawingml/2006/picture">
                  <pic:pic>
                    <pic:nvPicPr>
                      <pic:cNvPr descr="blue box"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87765" cy="297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DD3CE9">
      <w:rPr>
        <w:noProof/>
        <w:color w:val="000000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page">
                <wp:posOffset>560388</wp:posOffset>
              </wp:positionV>
              <wp:extent cx="8787765" cy="72390"/>
              <wp:effectExtent l="0" t="0" r="0" b="0"/>
              <wp:wrapNone/>
              <wp:docPr id="9" name="Rectangle 9" descr="light blue box" title="light blue box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748568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D16E04" w:rsidRDefault="00D16E04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-4761</wp:posOffset>
              </wp:positionH>
              <wp:positionV relativeFrom="page">
                <wp:posOffset>560388</wp:posOffset>
              </wp:positionV>
              <wp:extent cx="8787765" cy="72390"/>
              <wp:effectExtent b="0" l="0" r="0" t="0"/>
              <wp:wrapNone/>
              <wp:docPr descr="light blue box" id="9" name="image2.png"/>
              <a:graphic>
                <a:graphicData uri="http://schemas.openxmlformats.org/drawingml/2006/picture">
                  <pic:pic>
                    <pic:nvPicPr>
                      <pic:cNvPr descr="light blue box" id="0" name="image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87765" cy="72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DD3CE9">
      <w:rPr>
        <w:b/>
        <w:color w:val="002A4B"/>
      </w:rPr>
      <w:t>Iowa Department of Education</w:t>
    </w:r>
  </w:p>
  <w:p w:rsidR="00D16E04" w:rsidRDefault="00D16E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  <w:p w:rsidR="00D16E04" w:rsidRDefault="00D16E0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E04" w:rsidRDefault="00DD3CE9">
    <w:pPr>
      <w:pBdr>
        <w:top w:val="nil"/>
        <w:left w:val="nil"/>
        <w:bottom w:val="nil"/>
        <w:right w:val="nil"/>
        <w:between w:val="nil"/>
      </w:pBdr>
      <w:ind w:left="360" w:hanging="270"/>
      <w:rPr>
        <w:b/>
        <w:color w:val="002A4B"/>
      </w:rPr>
    </w:pP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page">
                <wp:posOffset>530543</wp:posOffset>
              </wp:positionV>
              <wp:extent cx="8787765" cy="7239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748568"/>
                        <a:ext cx="8778240" cy="62865"/>
                      </a:xfrm>
                      <a:prstGeom prst="rect">
                        <a:avLst/>
                      </a:prstGeom>
                      <a:solidFill>
                        <a:srgbClr val="002A4B"/>
                      </a:solidFill>
                      <a:ln>
                        <a:noFill/>
                      </a:ln>
                    </wps:spPr>
                    <wps:txbx>
                      <w:txbxContent>
                        <w:p w:rsidR="00D16E04" w:rsidRDefault="00D16E04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-4761</wp:posOffset>
              </wp:positionH>
              <wp:positionV relativeFrom="page">
                <wp:posOffset>530543</wp:posOffset>
              </wp:positionV>
              <wp:extent cx="8787765" cy="72390"/>
              <wp:effectExtent b="0" l="0" r="0" t="0"/>
              <wp:wrapNone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87765" cy="72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0" distR="0" simplePos="0" relativeHeight="251662336" behindDoc="1" locked="0" layoutInCell="1" hidden="0" allowOverlap="1">
              <wp:simplePos x="0" y="0"/>
              <wp:positionH relativeFrom="margin">
                <wp:posOffset>-4761</wp:posOffset>
              </wp:positionH>
              <wp:positionV relativeFrom="topMargin">
                <wp:posOffset>272733</wp:posOffset>
              </wp:positionV>
              <wp:extent cx="8787765" cy="297180"/>
              <wp:effectExtent l="0" t="0" r="0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956880" y="3636173"/>
                        <a:ext cx="8778240" cy="287655"/>
                      </a:xfrm>
                      <a:prstGeom prst="rect">
                        <a:avLst/>
                      </a:prstGeom>
                      <a:solidFill>
                        <a:srgbClr val="A5A5A5"/>
                      </a:solidFill>
                      <a:ln>
                        <a:noFill/>
                      </a:ln>
                    </wps:spPr>
                    <wps:txbx>
                      <w:txbxContent>
                        <w:p w:rsidR="00D16E04" w:rsidRDefault="00D16E04">
                          <w:pPr>
                            <w:spacing w:after="0"/>
                            <w:ind w:left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margin">
                <wp:posOffset>-4761</wp:posOffset>
              </wp:positionH>
              <wp:positionV relativeFrom="topMargin">
                <wp:posOffset>272733</wp:posOffset>
              </wp:positionV>
              <wp:extent cx="8787765" cy="297180"/>
              <wp:effectExtent b="0" l="0" r="0" t="0"/>
              <wp:wrapNone/>
              <wp:docPr id="12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87765" cy="29718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b/>
        <w:color w:val="002A4B"/>
      </w:rPr>
      <w:t>Iowa Department of Education</w:t>
    </w:r>
    <w:r>
      <w:rPr>
        <w:noProof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7918940</wp:posOffset>
          </wp:positionH>
          <wp:positionV relativeFrom="paragraph">
            <wp:posOffset>0</wp:posOffset>
          </wp:positionV>
          <wp:extent cx="707390" cy="707390"/>
          <wp:effectExtent l="0" t="0" r="0" b="0"/>
          <wp:wrapNone/>
          <wp:docPr id="13" name="image1.png" descr="Iowa Department of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owa Department of Education logo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39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E0C82"/>
    <w:multiLevelType w:val="multilevel"/>
    <w:tmpl w:val="10B2EEFA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4B64D01"/>
    <w:multiLevelType w:val="multilevel"/>
    <w:tmpl w:val="B2FC17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EE31F0"/>
    <w:multiLevelType w:val="multilevel"/>
    <w:tmpl w:val="E084CB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48D10AE"/>
    <w:multiLevelType w:val="multilevel"/>
    <w:tmpl w:val="411A159A"/>
    <w:lvl w:ilvl="0">
      <w:start w:val="1"/>
      <w:numFmt w:val="bullet"/>
      <w:lvlText w:val="●"/>
      <w:lvlJc w:val="left"/>
      <w:pPr>
        <w:ind w:left="89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1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3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5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7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9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1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3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5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560CE6"/>
    <w:multiLevelType w:val="multilevel"/>
    <w:tmpl w:val="245C26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B4E7ABB"/>
    <w:multiLevelType w:val="multilevel"/>
    <w:tmpl w:val="39E2E4B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E04"/>
    <w:rsid w:val="007046C6"/>
    <w:rsid w:val="00D16E04"/>
    <w:rsid w:val="00DD3CE9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97560"/>
  <w15:docId w15:val="{58882B45-3930-45C4-B7D0-907470B0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0088"/>
  </w:style>
  <w:style w:type="paragraph" w:styleId="Heading1">
    <w:name w:val="heading 1"/>
    <w:basedOn w:val="Normal"/>
    <w:next w:val="Normal"/>
    <w:link w:val="Heading1Char"/>
    <w:uiPriority w:val="9"/>
    <w:qFormat/>
    <w:rsid w:val="00593BBC"/>
    <w:pPr>
      <w:keepNext/>
      <w:keepLines/>
      <w:spacing w:before="240" w:after="80"/>
      <w:ind w:left="0"/>
      <w:jc w:val="center"/>
      <w:outlineLvl w:val="0"/>
    </w:pPr>
    <w:rPr>
      <w:rFonts w:eastAsiaTheme="majorEastAsia" w:cstheme="majorBidi"/>
      <w:b/>
      <w:color w:val="002A4B"/>
      <w:sz w:val="3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3BBC"/>
    <w:pPr>
      <w:keepNext/>
      <w:keepLines/>
      <w:spacing w:before="160" w:after="80"/>
      <w:ind w:left="0"/>
      <w:outlineLvl w:val="1"/>
    </w:pPr>
    <w:rPr>
      <w:rFonts w:eastAsiaTheme="majorEastAsia" w:cstheme="majorBidi"/>
      <w:b/>
      <w:color w:val="002A4B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BBC"/>
    <w:pPr>
      <w:keepNext/>
      <w:keepLines/>
      <w:spacing w:before="120" w:after="0"/>
      <w:ind w:left="0"/>
      <w:outlineLvl w:val="2"/>
    </w:pPr>
    <w:rPr>
      <w:rFonts w:eastAsiaTheme="majorEastAsia" w:cstheme="majorBidi"/>
      <w:b/>
      <w:color w:val="005BA3" w:themeColor="accen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0185"/>
    <w:pPr>
      <w:keepNext/>
      <w:keepLines/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before="120" w:after="0"/>
      <w:ind w:left="0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Heading5">
    <w:name w:val="heading 5"/>
    <w:next w:val="Normal"/>
    <w:link w:val="Heading5Char"/>
    <w:uiPriority w:val="9"/>
    <w:semiHidden/>
    <w:unhideWhenUsed/>
    <w:qFormat/>
    <w:rsid w:val="000B0185"/>
    <w:pPr>
      <w:keepNext/>
      <w:keepLines/>
      <w:spacing w:before="80" w:after="40"/>
      <w:outlineLvl w:val="4"/>
    </w:pPr>
    <w:rPr>
      <w:rFonts w:eastAsiaTheme="majorEastAsia" w:cstheme="majorBidi"/>
      <w:b/>
      <w:color w:val="595959" w:themeColor="text1" w:themeTint="A6"/>
      <w:sz w:val="24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0B0185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731E0"/>
    <w:pPr>
      <w:spacing w:after="120"/>
      <w:ind w:left="1728" w:right="1728"/>
      <w:contextualSpacing/>
      <w:jc w:val="center"/>
    </w:pPr>
    <w:rPr>
      <w:rFonts w:eastAsiaTheme="majorEastAsia" w:cstheme="majorBidi"/>
      <w:b/>
      <w:color w:val="002A4B"/>
      <w:kern w:val="28"/>
      <w:sz w:val="38"/>
      <w:szCs w:val="56"/>
    </w:rPr>
  </w:style>
  <w:style w:type="paragraph" w:styleId="ListParagraph">
    <w:name w:val="List Paragraph"/>
    <w:basedOn w:val="Normal"/>
    <w:uiPriority w:val="34"/>
    <w:rsid w:val="00C30548"/>
    <w:pPr>
      <w:ind w:left="720"/>
      <w:contextualSpacing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195D"/>
  </w:style>
  <w:style w:type="paragraph" w:styleId="Footer">
    <w:name w:val="footer"/>
    <w:basedOn w:val="Normal"/>
    <w:link w:val="FooterChar"/>
    <w:uiPriority w:val="99"/>
    <w:unhideWhenUsed/>
    <w:rsid w:val="00B819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195D"/>
  </w:style>
  <w:style w:type="paragraph" w:styleId="BalloonText">
    <w:name w:val="Balloon Text"/>
    <w:basedOn w:val="Normal"/>
    <w:link w:val="BalloonTextChar"/>
    <w:uiPriority w:val="99"/>
    <w:semiHidden/>
    <w:unhideWhenUsed/>
    <w:rsid w:val="005403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37B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next w:val="Normal"/>
    <w:link w:val="BodyTextIndentChar"/>
    <w:autoRedefine/>
    <w:rsid w:val="009522A1"/>
    <w:pPr>
      <w:spacing w:before="360" w:after="120"/>
      <w:ind w:left="720" w:hanging="360"/>
      <w:jc w:val="both"/>
    </w:pPr>
    <w:rPr>
      <w:rFonts w:eastAsia="Times New Roman"/>
      <w:b/>
      <w:bCs/>
      <w:color w:val="003366"/>
    </w:rPr>
  </w:style>
  <w:style w:type="character" w:customStyle="1" w:styleId="BodyTextIndentChar">
    <w:name w:val="Body Text Indent Char"/>
    <w:basedOn w:val="DefaultParagraphFont"/>
    <w:link w:val="BodyTextIndent"/>
    <w:rsid w:val="009522A1"/>
    <w:rPr>
      <w:rFonts w:ascii="Arial" w:eastAsia="Times New Roman" w:hAnsi="Arial" w:cs="Arial"/>
      <w:b/>
      <w:bCs/>
      <w:color w:val="003366"/>
    </w:rPr>
  </w:style>
  <w:style w:type="table" w:customStyle="1" w:styleId="DefaultEducation">
    <w:name w:val="Default Education"/>
    <w:basedOn w:val="TableNormal"/>
    <w:uiPriority w:val="99"/>
    <w:rsid w:val="00AF78FD"/>
    <w:pPr>
      <w:spacing w:after="0"/>
    </w:pPr>
    <w:rPr>
      <w:color w:val="000000" w:themeColor="text1"/>
      <w:sz w:val="20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ACACAC" w:themeColor="background2" w:themeShade="BF"/>
        <w:insideV w:val="single" w:sz="8" w:space="0" w:color="ACACAC" w:themeColor="background2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2A4B" w:themeFill="text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2420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420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420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1727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93BBC"/>
    <w:rPr>
      <w:rFonts w:ascii="Arial" w:eastAsiaTheme="majorEastAsia" w:hAnsi="Arial" w:cstheme="majorBidi"/>
      <w:b/>
      <w:color w:val="002A4B"/>
      <w:sz w:val="3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3BBC"/>
    <w:rPr>
      <w:rFonts w:ascii="Arial" w:eastAsiaTheme="majorEastAsia" w:hAnsi="Arial" w:cstheme="majorBidi"/>
      <w:b/>
      <w:color w:val="002A4B" w:themeColor="tex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3BBC"/>
    <w:rPr>
      <w:rFonts w:ascii="Arial" w:eastAsiaTheme="majorEastAsia" w:hAnsi="Arial" w:cstheme="majorBidi"/>
      <w:b/>
      <w:color w:val="005BA3" w:themeColor="accent1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0731E0"/>
    <w:rPr>
      <w:rFonts w:ascii="Arial" w:eastAsiaTheme="majorEastAsia" w:hAnsi="Arial" w:cstheme="majorBidi"/>
      <w:b/>
      <w:color w:val="002A4B"/>
      <w:kern w:val="28"/>
      <w:sz w:val="38"/>
      <w:szCs w:val="56"/>
    </w:rPr>
  </w:style>
  <w:style w:type="paragraph" w:styleId="NoSpacing">
    <w:name w:val="No Spacing"/>
    <w:uiPriority w:val="1"/>
    <w:rsid w:val="00387575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rsid w:val="00403ACC"/>
    <w:pPr>
      <w:pBdr>
        <w:top w:val="single" w:sz="4" w:space="10" w:color="005BA3" w:themeColor="accent1"/>
        <w:bottom w:val="single" w:sz="4" w:space="10" w:color="005BA3" w:themeColor="accent1"/>
      </w:pBdr>
      <w:spacing w:before="360" w:after="360"/>
      <w:ind w:left="864" w:right="864"/>
      <w:jc w:val="center"/>
    </w:pPr>
    <w:rPr>
      <w:i/>
      <w:iCs/>
      <w:color w:val="002A4B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ACC"/>
    <w:rPr>
      <w:i/>
      <w:iCs/>
      <w:color w:val="002A4B" w:themeColor="text2"/>
    </w:rPr>
  </w:style>
  <w:style w:type="paragraph" w:styleId="ListBullet">
    <w:name w:val="List Bullet"/>
    <w:basedOn w:val="Normal"/>
    <w:uiPriority w:val="99"/>
    <w:unhideWhenUsed/>
    <w:rsid w:val="00B65BF6"/>
    <w:pPr>
      <w:numPr>
        <w:numId w:val="6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0B0185"/>
    <w:rPr>
      <w:rFonts w:ascii="Arial" w:eastAsiaTheme="majorEastAsia" w:hAnsi="Arial" w:cstheme="majorBidi"/>
      <w:b/>
      <w:iCs/>
      <w:color w:val="000000" w:themeColor="text1"/>
      <w:sz w:val="24"/>
      <w:shd w:val="clear" w:color="auto" w:fill="D9D9D9" w:themeFill="background1" w:themeFillShade="D9"/>
    </w:rPr>
  </w:style>
  <w:style w:type="character" w:customStyle="1" w:styleId="Heading5Char">
    <w:name w:val="Heading 5 Char"/>
    <w:basedOn w:val="DefaultParagraphFont"/>
    <w:link w:val="Heading5"/>
    <w:uiPriority w:val="9"/>
    <w:rsid w:val="000B0185"/>
    <w:rPr>
      <w:rFonts w:ascii="Arial" w:eastAsiaTheme="majorEastAsia" w:hAnsi="Arial" w:cstheme="majorBidi"/>
      <w:b/>
      <w:color w:val="595959" w:themeColor="text1" w:themeTint="A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B0185"/>
    <w:rPr>
      <w:rFonts w:asciiTheme="majorHAnsi" w:eastAsiaTheme="majorEastAsia" w:hAnsiTheme="majorHAnsi" w:cstheme="majorBidi"/>
      <w:color w:val="FF0000"/>
      <w:sz w:val="144"/>
    </w:rPr>
  </w:style>
  <w:style w:type="paragraph" w:customStyle="1" w:styleId="TableHeading">
    <w:name w:val="Table Heading"/>
    <w:qFormat/>
    <w:rsid w:val="0066721F"/>
    <w:pPr>
      <w:spacing w:after="160"/>
    </w:pPr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66721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F78F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E51E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51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E51E5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  <w:style w:type="table" w:customStyle="1" w:styleId="a0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  <w:style w:type="table" w:customStyle="1" w:styleId="a1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  <w:style w:type="table" w:customStyle="1" w:styleId="a2">
    <w:basedOn w:val="TableNormal"/>
    <w:pPr>
      <w:spacing w:after="0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cBorders>
        <w:shd w:val="clear" w:color="auto" w:fill="002A4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DU6o-BbQ7F8qpcBNRb5Jk2x1oXK6M0ue/view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DU6o-BbQ7F8qpcBNRb5Jk2x1oXK6M0ue/vie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eme1">
  <a:themeElements>
    <a:clrScheme name="Iowa Department of Education">
      <a:dk1>
        <a:sysClr val="windowText" lastClr="000000"/>
      </a:dk1>
      <a:lt1>
        <a:sysClr val="window" lastClr="FFFFFF"/>
      </a:lt1>
      <a:dk2>
        <a:srgbClr val="002A4B"/>
      </a:dk2>
      <a:lt2>
        <a:srgbClr val="E6E6E6"/>
      </a:lt2>
      <a:accent1>
        <a:srgbClr val="005BA3"/>
      </a:accent1>
      <a:accent2>
        <a:srgbClr val="FFE363"/>
      </a:accent2>
      <a:accent3>
        <a:srgbClr val="95BDE0"/>
      </a:accent3>
      <a:accent4>
        <a:srgbClr val="A5A5A5"/>
      </a:accent4>
      <a:accent5>
        <a:srgbClr val="DC6400"/>
      </a:accent5>
      <a:accent6>
        <a:srgbClr val="FFC20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2URuFDoP2UUM1B7dXZ5bVcl6b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zIIaC5namRneHM4AHIhMUg2YktCTzNtR2RleFNCandJaExLLXh5SngzTlg5bFp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1371</Words>
  <Characters>7555</Characters>
  <Application>Microsoft Office Word</Application>
  <DocSecurity>0</DocSecurity>
  <Lines>377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Iowa Department of Education</dc:creator>
  <cp:lastModifiedBy>Albers, Lisa [IDOE]</cp:lastModifiedBy>
  <cp:revision>2</cp:revision>
  <dcterms:created xsi:type="dcterms:W3CDTF">2023-06-06T17:40:00Z</dcterms:created>
  <dcterms:modified xsi:type="dcterms:W3CDTF">2023-06-06T17:40:00Z</dcterms:modified>
</cp:coreProperties>
</file>