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8D" w:rsidRDefault="00232945" w:rsidP="00886C9B">
      <w:pPr>
        <w:tabs>
          <w:tab w:val="right" w:pos="10800"/>
        </w:tabs>
        <w:spacing w:after="240"/>
        <w:ind w:left="0"/>
        <w:rPr>
          <w:b/>
          <w:color w:val="001F38"/>
          <w:sz w:val="24"/>
          <w:szCs w:val="24"/>
        </w:rPr>
      </w:pPr>
      <w:r>
        <w:rPr>
          <w:b/>
          <w:color w:val="002A4B"/>
          <w:sz w:val="24"/>
          <w:szCs w:val="24"/>
        </w:rPr>
        <w:t>January 2023</w:t>
      </w:r>
    </w:p>
    <w:p w:rsidR="006E248D" w:rsidRDefault="00232945">
      <w:pPr>
        <w:pStyle w:val="Heading1"/>
      </w:pPr>
      <w:r>
        <w:t>Embedding Work-Based Learning</w:t>
      </w:r>
    </w:p>
    <w:p w:rsidR="006E248D" w:rsidRDefault="00232945" w:rsidP="008F68F6">
      <w:pPr>
        <w:ind w:left="0"/>
      </w:pPr>
      <w:r>
        <w:t>Directions</w:t>
      </w:r>
      <w:r w:rsidR="00237084">
        <w:t>:</w:t>
      </w:r>
      <w:r>
        <w:t xml:space="preserve"> </w:t>
      </w:r>
    </w:p>
    <w:p w:rsidR="0023182C" w:rsidRPr="0023182C" w:rsidRDefault="00D47037" w:rsidP="008F68F6">
      <w:pPr>
        <w:pStyle w:val="ListParagraph"/>
        <w:numPr>
          <w:ilvl w:val="0"/>
          <w:numId w:val="9"/>
        </w:numPr>
      </w:pPr>
      <w:r>
        <w:t>L</w:t>
      </w:r>
      <w:r w:rsidR="00760773">
        <w:t xml:space="preserve">ist </w:t>
      </w:r>
      <w:r>
        <w:t xml:space="preserve">each </w:t>
      </w:r>
      <w:r w:rsidR="00760773">
        <w:t>course</w:t>
      </w:r>
      <w:r>
        <w:t xml:space="preserve"> in the identified program</w:t>
      </w:r>
      <w:r w:rsidR="00232945" w:rsidRPr="0023182C">
        <w:t>.</w:t>
      </w:r>
    </w:p>
    <w:p w:rsidR="006E248D" w:rsidRDefault="00D47037" w:rsidP="008F68F6">
      <w:pPr>
        <w:pStyle w:val="ListParagraph"/>
        <w:numPr>
          <w:ilvl w:val="0"/>
          <w:numId w:val="9"/>
        </w:numPr>
      </w:pPr>
      <w:r>
        <w:t xml:space="preserve">Identify the </w:t>
      </w:r>
      <w:r w:rsidR="0072509D">
        <w:t>Work-Based Learning (</w:t>
      </w:r>
      <w:r>
        <w:t>WBL</w:t>
      </w:r>
      <w:r w:rsidR="0072509D">
        <w:t>)</w:t>
      </w:r>
      <w:r>
        <w:t xml:space="preserve"> experiences each course provides. WBL experiences listed on page two and in the </w:t>
      </w:r>
      <w:hyperlink r:id="rId9" w:history="1">
        <w:r w:rsidR="00055593" w:rsidRPr="008E1E93">
          <w:rPr>
            <w:rStyle w:val="Hyperlink"/>
          </w:rPr>
          <w:t>Iowa Work-Based Learning Guide</w:t>
        </w:r>
      </w:hyperlink>
      <w:r w:rsidR="00055593">
        <w:t>.</w:t>
      </w:r>
    </w:p>
    <w:p w:rsidR="006E248D" w:rsidRDefault="00232945" w:rsidP="008F68F6">
      <w:pPr>
        <w:pStyle w:val="ListParagraph"/>
        <w:numPr>
          <w:ilvl w:val="0"/>
          <w:numId w:val="9"/>
        </w:numPr>
      </w:pPr>
      <w:r w:rsidRPr="0023182C">
        <w:t>For each of the WBL experience</w:t>
      </w:r>
      <w:r w:rsidR="00DC23B2">
        <w:t xml:space="preserve"> in the course</w:t>
      </w:r>
      <w:r w:rsidRPr="0023182C">
        <w:t xml:space="preserve">, </w:t>
      </w:r>
      <w:r w:rsidR="00DC23B2">
        <w:t>select and</w:t>
      </w:r>
      <w:r w:rsidRPr="0023182C">
        <w:t xml:space="preserve"> an ICAP reflection</w:t>
      </w:r>
      <w:r w:rsidR="00DC23B2">
        <w:t xml:space="preserve"> to be used or developed</w:t>
      </w:r>
      <w:r w:rsidRPr="0023182C">
        <w:t xml:space="preserve">. </w:t>
      </w:r>
      <w:r w:rsidR="00DC23B2">
        <w:t>More information about ICAP reflections on page two.</w:t>
      </w:r>
    </w:p>
    <w:p w:rsidR="00D47037" w:rsidRPr="0023182C" w:rsidRDefault="00D47037" w:rsidP="00D47037">
      <w:pPr>
        <w:ind w:left="0"/>
      </w:pPr>
      <w:r>
        <w:t>WBL Program _____________________________________________________________________________________________________</w:t>
      </w:r>
    </w:p>
    <w:tbl>
      <w:tblPr>
        <w:tblStyle w:val="a"/>
        <w:tblW w:w="1394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4670"/>
        <w:gridCol w:w="4950"/>
        <w:gridCol w:w="4320"/>
      </w:tblGrid>
      <w:tr w:rsidR="006E248D" w:rsidTr="0088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670" w:type="dxa"/>
            <w:tcBorders>
              <w:top w:val="nil"/>
              <w:right w:val="single" w:sz="4" w:space="0" w:color="FFFFFF" w:themeColor="background1"/>
            </w:tcBorders>
            <w:vAlign w:val="top"/>
          </w:tcPr>
          <w:p w:rsidR="006E248D" w:rsidRDefault="00232945" w:rsidP="0023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Course</w:t>
            </w:r>
          </w:p>
        </w:tc>
        <w:tc>
          <w:tcPr>
            <w:tcW w:w="495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top"/>
          </w:tcPr>
          <w:p w:rsidR="006E248D" w:rsidRDefault="00232945" w:rsidP="0023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WBL Experience</w:t>
            </w:r>
            <w:r w:rsidR="00DC23B2">
              <w:t>(s)</w:t>
            </w:r>
          </w:p>
        </w:tc>
        <w:tc>
          <w:tcPr>
            <w:tcW w:w="4320" w:type="dxa"/>
            <w:tcBorders>
              <w:left w:val="single" w:sz="4" w:space="0" w:color="FFFFFF" w:themeColor="background1"/>
            </w:tcBorders>
            <w:vAlign w:val="top"/>
          </w:tcPr>
          <w:p w:rsidR="006E248D" w:rsidRDefault="00232945" w:rsidP="0023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ICAP Reflection</w:t>
            </w:r>
            <w:r w:rsidR="00DC23B2">
              <w:t>(s)s</w:t>
            </w:r>
          </w:p>
        </w:tc>
      </w:tr>
      <w:tr w:rsidR="006E248D" w:rsidTr="00886C9B">
        <w:trPr>
          <w:trHeight w:val="20"/>
        </w:trPr>
        <w:tc>
          <w:tcPr>
            <w:tcW w:w="4670" w:type="dxa"/>
            <w:vAlign w:val="top"/>
          </w:tcPr>
          <w:p w:rsidR="006E248D" w:rsidRDefault="006E248D" w:rsidP="0023182C">
            <w:pPr>
              <w:ind w:left="0"/>
            </w:pPr>
          </w:p>
        </w:tc>
        <w:tc>
          <w:tcPr>
            <w:tcW w:w="4950" w:type="dxa"/>
            <w:vAlign w:val="top"/>
          </w:tcPr>
          <w:p w:rsidR="006E248D" w:rsidRDefault="006E248D" w:rsidP="0023182C">
            <w:pPr>
              <w:ind w:left="0"/>
            </w:pPr>
          </w:p>
          <w:p w:rsidR="00886C9B" w:rsidRDefault="00886C9B" w:rsidP="0023182C">
            <w:pPr>
              <w:ind w:left="0"/>
            </w:pPr>
          </w:p>
          <w:p w:rsidR="00886C9B" w:rsidRDefault="00886C9B" w:rsidP="0023182C">
            <w:pPr>
              <w:ind w:left="0"/>
            </w:pPr>
          </w:p>
        </w:tc>
        <w:tc>
          <w:tcPr>
            <w:tcW w:w="4320" w:type="dxa"/>
            <w:vAlign w:val="top"/>
          </w:tcPr>
          <w:p w:rsidR="006E248D" w:rsidRDefault="006E248D" w:rsidP="0023182C">
            <w:pPr>
              <w:ind w:left="0"/>
            </w:pPr>
          </w:p>
          <w:p w:rsidR="00886C9B" w:rsidRDefault="00886C9B" w:rsidP="0023182C">
            <w:pPr>
              <w:ind w:left="0"/>
            </w:pPr>
          </w:p>
          <w:p w:rsidR="00886C9B" w:rsidRDefault="00886C9B" w:rsidP="0023182C">
            <w:pPr>
              <w:ind w:left="0"/>
            </w:pPr>
          </w:p>
        </w:tc>
      </w:tr>
      <w:tr w:rsidR="00886C9B" w:rsidTr="00886C9B">
        <w:trPr>
          <w:trHeight w:val="20"/>
        </w:trPr>
        <w:tc>
          <w:tcPr>
            <w:tcW w:w="4670" w:type="dxa"/>
            <w:vAlign w:val="top"/>
          </w:tcPr>
          <w:p w:rsidR="00886C9B" w:rsidRDefault="00886C9B" w:rsidP="00886C9B">
            <w:pPr>
              <w:ind w:left="0"/>
            </w:pPr>
          </w:p>
        </w:tc>
        <w:tc>
          <w:tcPr>
            <w:tcW w:w="495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  <w:tc>
          <w:tcPr>
            <w:tcW w:w="432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</w:tr>
      <w:tr w:rsidR="00886C9B" w:rsidTr="00886C9B">
        <w:trPr>
          <w:trHeight w:val="20"/>
        </w:trPr>
        <w:tc>
          <w:tcPr>
            <w:tcW w:w="4670" w:type="dxa"/>
            <w:vAlign w:val="top"/>
          </w:tcPr>
          <w:p w:rsidR="00886C9B" w:rsidRDefault="00886C9B" w:rsidP="00886C9B">
            <w:pPr>
              <w:ind w:left="0"/>
            </w:pPr>
          </w:p>
        </w:tc>
        <w:tc>
          <w:tcPr>
            <w:tcW w:w="495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  <w:tc>
          <w:tcPr>
            <w:tcW w:w="432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</w:tr>
      <w:tr w:rsidR="00886C9B" w:rsidTr="00886C9B">
        <w:trPr>
          <w:trHeight w:val="20"/>
        </w:trPr>
        <w:tc>
          <w:tcPr>
            <w:tcW w:w="4670" w:type="dxa"/>
            <w:vAlign w:val="top"/>
          </w:tcPr>
          <w:p w:rsidR="00886C9B" w:rsidRDefault="00886C9B" w:rsidP="00886C9B">
            <w:pPr>
              <w:ind w:left="0"/>
            </w:pPr>
          </w:p>
        </w:tc>
        <w:tc>
          <w:tcPr>
            <w:tcW w:w="495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  <w:tc>
          <w:tcPr>
            <w:tcW w:w="432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</w:tr>
      <w:tr w:rsidR="00886C9B" w:rsidTr="00886C9B">
        <w:trPr>
          <w:trHeight w:val="20"/>
        </w:trPr>
        <w:tc>
          <w:tcPr>
            <w:tcW w:w="4670" w:type="dxa"/>
            <w:vAlign w:val="top"/>
          </w:tcPr>
          <w:p w:rsidR="00886C9B" w:rsidRDefault="00886C9B" w:rsidP="00886C9B">
            <w:pPr>
              <w:ind w:left="0"/>
            </w:pPr>
          </w:p>
        </w:tc>
        <w:tc>
          <w:tcPr>
            <w:tcW w:w="495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  <w:tc>
          <w:tcPr>
            <w:tcW w:w="432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</w:tr>
      <w:tr w:rsidR="00886C9B" w:rsidTr="00886C9B">
        <w:trPr>
          <w:trHeight w:val="20"/>
        </w:trPr>
        <w:tc>
          <w:tcPr>
            <w:tcW w:w="4670" w:type="dxa"/>
            <w:vAlign w:val="top"/>
          </w:tcPr>
          <w:p w:rsidR="00886C9B" w:rsidRDefault="00886C9B" w:rsidP="00886C9B">
            <w:pPr>
              <w:ind w:left="0"/>
            </w:pPr>
          </w:p>
        </w:tc>
        <w:tc>
          <w:tcPr>
            <w:tcW w:w="495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  <w:tc>
          <w:tcPr>
            <w:tcW w:w="4320" w:type="dxa"/>
            <w:vAlign w:val="top"/>
          </w:tcPr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  <w:p w:rsidR="00886C9B" w:rsidRDefault="00886C9B" w:rsidP="00886C9B">
            <w:pPr>
              <w:ind w:left="0"/>
            </w:pPr>
          </w:p>
        </w:tc>
      </w:tr>
    </w:tbl>
    <w:p w:rsidR="006E248D" w:rsidRDefault="006E248D">
      <w:pPr>
        <w:spacing w:line="276" w:lineRule="auto"/>
        <w:ind w:left="0"/>
      </w:pPr>
    </w:p>
    <w:p w:rsidR="00886C9B" w:rsidRDefault="00886C9B">
      <w:r>
        <w:br w:type="page"/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8990"/>
        <w:gridCol w:w="4940"/>
      </w:tblGrid>
      <w:tr w:rsidR="00760773" w:rsidTr="008E1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0" w:type="dxa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  <w:vAlign w:val="top"/>
          </w:tcPr>
          <w:p w:rsidR="00760773" w:rsidRDefault="00760773" w:rsidP="008E1E93">
            <w:pPr>
              <w:ind w:left="0"/>
            </w:pPr>
            <w:r>
              <w:lastRenderedPageBreak/>
              <w:t>WBL Experiences</w:t>
            </w:r>
          </w:p>
        </w:tc>
        <w:tc>
          <w:tcPr>
            <w:tcW w:w="4940" w:type="dxa"/>
            <w:tcBorders>
              <w:left w:val="single" w:sz="4" w:space="0" w:color="FFFFFF" w:themeColor="background1"/>
            </w:tcBorders>
            <w:vAlign w:val="top"/>
          </w:tcPr>
          <w:p w:rsidR="00760773" w:rsidRDefault="00760773" w:rsidP="008E1E93">
            <w:pPr>
              <w:ind w:left="0"/>
            </w:pPr>
            <w:r w:rsidRPr="00760773">
              <w:t>Individual Career and Academic Plan (ICAP)</w:t>
            </w:r>
          </w:p>
        </w:tc>
      </w:tr>
      <w:tr w:rsidR="00760773" w:rsidTr="008E1E93">
        <w:tc>
          <w:tcPr>
            <w:tcW w:w="8990" w:type="dxa"/>
            <w:tcBorders>
              <w:top w:val="single" w:sz="4" w:space="0" w:color="000000" w:themeColor="text1"/>
            </w:tcBorders>
            <w:vAlign w:val="top"/>
          </w:tcPr>
          <w:p w:rsidR="009C3EED" w:rsidRDefault="009C3EED" w:rsidP="008E1E93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3161665</wp:posOffset>
                  </wp:positionH>
                  <wp:positionV relativeFrom="paragraph">
                    <wp:posOffset>-10795</wp:posOffset>
                  </wp:positionV>
                  <wp:extent cx="2394585" cy="2394585"/>
                  <wp:effectExtent l="0" t="0" r="5715" b="5715"/>
                  <wp:wrapSquare wrapText="bothSides"/>
                  <wp:docPr id="3" name="Picture 3" descr="work-based learning continuum graphi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BL-graphic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585" cy="239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The following are abbreviated definitions of WBL experiences. </w:t>
            </w:r>
            <w:r w:rsidR="008E1E93">
              <w:t>Full</w:t>
            </w:r>
            <w:r>
              <w:t xml:space="preserve"> definition</w:t>
            </w:r>
            <w:r w:rsidR="008E1E93">
              <w:t>s</w:t>
            </w:r>
            <w:r>
              <w:t xml:space="preserve"> </w:t>
            </w:r>
            <w:r w:rsidR="008E1E93">
              <w:t xml:space="preserve">are </w:t>
            </w:r>
            <w:r>
              <w:t xml:space="preserve">available in the </w:t>
            </w:r>
            <w:hyperlink r:id="rId11" w:history="1">
              <w:r w:rsidRPr="008E1E93">
                <w:rPr>
                  <w:rStyle w:val="Hyperlink"/>
                </w:rPr>
                <w:t>Iowa Work-Based Learning Guide</w:t>
              </w:r>
            </w:hyperlink>
            <w:r>
              <w:t>.</w:t>
            </w:r>
          </w:p>
          <w:p w:rsidR="009C3EED" w:rsidRDefault="009C3EED" w:rsidP="008E1E93">
            <w:pPr>
              <w:ind w:left="0"/>
            </w:pPr>
          </w:p>
          <w:p w:rsidR="009C3EED" w:rsidRPr="008E1E93" w:rsidRDefault="009C3EED" w:rsidP="008E1E93">
            <w:pPr>
              <w:shd w:val="clear" w:color="auto" w:fill="FFEEA1" w:themeFill="accent2" w:themeFillTint="99"/>
              <w:ind w:left="0"/>
              <w:rPr>
                <w:b/>
                <w:sz w:val="24"/>
                <w:szCs w:val="24"/>
              </w:rPr>
            </w:pPr>
            <w:r w:rsidRPr="008E1E93">
              <w:rPr>
                <w:b/>
                <w:sz w:val="24"/>
                <w:szCs w:val="24"/>
              </w:rPr>
              <w:t>Awareness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0"/>
              </w:numPr>
            </w:pPr>
            <w:r w:rsidRPr="008E1E93">
              <w:rPr>
                <w:b/>
              </w:rPr>
              <w:t>Classroom Speakers:</w:t>
            </w:r>
            <w:r w:rsidRPr="009C3EED">
              <w:t xml:space="preserve"> professionals share career information to students</w:t>
            </w:r>
          </w:p>
          <w:p w:rsidR="009C3EED" w:rsidRPr="008E1E93" w:rsidRDefault="009C3EED" w:rsidP="008E1E93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E1E93">
              <w:rPr>
                <w:b/>
              </w:rPr>
              <w:t xml:space="preserve">Informational </w:t>
            </w:r>
            <w:r w:rsidR="00F63BA6">
              <w:rPr>
                <w:b/>
              </w:rPr>
              <w:t>Interviews:</w:t>
            </w:r>
            <w:r w:rsidR="00F63BA6" w:rsidRPr="00F63BA6">
              <w:t xml:space="preserve"> career interview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0"/>
              </w:numPr>
            </w:pPr>
            <w:r w:rsidRPr="008E1E93">
              <w:rPr>
                <w:b/>
              </w:rPr>
              <w:t>Career Immersion Experiences:</w:t>
            </w:r>
            <w:r w:rsidRPr="009C3EED">
              <w:t xml:space="preserve"> hands-on simulators/experiences</w:t>
            </w:r>
          </w:p>
          <w:p w:rsidR="009C3EED" w:rsidRDefault="009C3EED" w:rsidP="008E1E93">
            <w:pPr>
              <w:ind w:left="0"/>
            </w:pPr>
          </w:p>
          <w:p w:rsidR="009C3EED" w:rsidRPr="008E1E93" w:rsidRDefault="009C3EED" w:rsidP="008E1E93">
            <w:pPr>
              <w:shd w:val="clear" w:color="auto" w:fill="BFD7EC" w:themeFill="accent3" w:themeFillTint="99"/>
              <w:ind w:left="0"/>
              <w:rPr>
                <w:b/>
                <w:sz w:val="24"/>
                <w:szCs w:val="24"/>
              </w:rPr>
            </w:pPr>
            <w:r w:rsidRPr="008E1E93">
              <w:rPr>
                <w:b/>
                <w:sz w:val="24"/>
                <w:szCs w:val="24"/>
              </w:rPr>
              <w:t>Exploration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2"/>
              </w:numPr>
            </w:pPr>
            <w:r w:rsidRPr="008E1E93">
              <w:rPr>
                <w:b/>
              </w:rPr>
              <w:t>Authentic Projects:</w:t>
            </w:r>
            <w:r w:rsidRPr="009C3EED">
              <w:t xml:space="preserve"> projects completed for industry 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2"/>
              </w:numPr>
            </w:pPr>
            <w:r w:rsidRPr="008E1E93">
              <w:rPr>
                <w:b/>
              </w:rPr>
              <w:t>Career-Based Service Learning:</w:t>
            </w:r>
            <w:r w:rsidRPr="009C3EED">
              <w:t xml:space="preserve"> community projects with industry &amp; connect it to a career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2"/>
              </w:numPr>
            </w:pPr>
            <w:r w:rsidRPr="008E1E93">
              <w:rPr>
                <w:b/>
              </w:rPr>
              <w:t>Interactive Career Events:</w:t>
            </w:r>
            <w:r w:rsidRPr="009C3EED">
              <w:t xml:space="preserve"> career fairs with hands-on career booths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2"/>
              </w:numPr>
            </w:pPr>
            <w:r w:rsidRPr="00140900">
              <w:rPr>
                <w:b/>
              </w:rPr>
              <w:t>Worksite Exploratory Events:</w:t>
            </w:r>
            <w:r w:rsidRPr="009C3EED">
              <w:t xml:space="preserve"> worksite tour with small group options for informational interviews 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2"/>
              </w:numPr>
            </w:pPr>
            <w:r w:rsidRPr="008E1E93">
              <w:rPr>
                <w:b/>
              </w:rPr>
              <w:t>Job Shadows:</w:t>
            </w:r>
            <w:r w:rsidRPr="009C3EED">
              <w:t xml:space="preserve"> one or two students at a worksite to observe a professional</w:t>
            </w:r>
          </w:p>
          <w:p w:rsidR="009C3EED" w:rsidRDefault="009C3EED" w:rsidP="008E1E93">
            <w:pPr>
              <w:ind w:left="0"/>
            </w:pPr>
          </w:p>
          <w:p w:rsidR="009C3EED" w:rsidRPr="008E1E93" w:rsidRDefault="009C3EED" w:rsidP="008E1E93">
            <w:pPr>
              <w:shd w:val="clear" w:color="auto" w:fill="0070C0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8E1E93">
              <w:rPr>
                <w:b/>
                <w:color w:val="FFFFFF" w:themeColor="background1"/>
                <w:sz w:val="24"/>
                <w:szCs w:val="24"/>
              </w:rPr>
              <w:t>Preparation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3"/>
              </w:numPr>
            </w:pPr>
            <w:r w:rsidRPr="008E1E93">
              <w:rPr>
                <w:b/>
              </w:rPr>
              <w:t>Professional Skill Workshops:</w:t>
            </w:r>
            <w:r w:rsidRPr="009C3EED">
              <w:t xml:space="preserve"> resume and cover letter writing led by an industry professional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3"/>
              </w:numPr>
            </w:pPr>
            <w:r w:rsidRPr="008E1E93">
              <w:rPr>
                <w:b/>
              </w:rPr>
              <w:t>Mock Interviews:</w:t>
            </w:r>
            <w:r w:rsidRPr="009C3EED">
              <w:t xml:space="preserve"> practice interviews with industry professionals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3"/>
              </w:numPr>
            </w:pPr>
            <w:r w:rsidRPr="008E1E93">
              <w:rPr>
                <w:b/>
              </w:rPr>
              <w:t>School-Based Enterprises:</w:t>
            </w:r>
            <w:r w:rsidRPr="009C3EED">
              <w:t xml:space="preserve"> student-run business</w:t>
            </w:r>
          </w:p>
          <w:p w:rsidR="009C3EED" w:rsidRDefault="009C3EED" w:rsidP="008E1E93">
            <w:pPr>
              <w:ind w:left="0"/>
            </w:pPr>
          </w:p>
          <w:p w:rsidR="009C3EED" w:rsidRPr="00EB75FD" w:rsidRDefault="009C3EED" w:rsidP="00EB75FD">
            <w:pPr>
              <w:shd w:val="clear" w:color="auto" w:fill="002D51" w:themeFill="accent1" w:themeFillShade="80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EB75FD">
              <w:rPr>
                <w:b/>
                <w:color w:val="FFFFFF" w:themeColor="background1"/>
                <w:sz w:val="24"/>
                <w:szCs w:val="24"/>
              </w:rPr>
              <w:t>Training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4"/>
              </w:numPr>
            </w:pPr>
            <w:r w:rsidRPr="008E1E93">
              <w:rPr>
                <w:b/>
              </w:rPr>
              <w:t>Internships:</w:t>
            </w:r>
            <w:r w:rsidRPr="009C3EED">
              <w:t xml:space="preserve"> professional training experience for a set period of time</w:t>
            </w:r>
          </w:p>
          <w:p w:rsidR="009C3EED" w:rsidRPr="009C3EED" w:rsidRDefault="009C3EED" w:rsidP="008E1E93">
            <w:pPr>
              <w:pStyle w:val="ListParagraph"/>
              <w:numPr>
                <w:ilvl w:val="0"/>
                <w:numId w:val="14"/>
              </w:numPr>
            </w:pPr>
            <w:r w:rsidRPr="008E1E93">
              <w:rPr>
                <w:b/>
              </w:rPr>
              <w:t>Quality Pre-Apprenticeships:</w:t>
            </w:r>
            <w:r w:rsidRPr="009C3EED">
              <w:t xml:space="preserve"> training experience tied to a registered apprenticeship</w:t>
            </w:r>
          </w:p>
          <w:p w:rsidR="00760773" w:rsidRPr="009C3EED" w:rsidRDefault="009C3EED" w:rsidP="008E1E93">
            <w:pPr>
              <w:pStyle w:val="ListParagraph"/>
              <w:numPr>
                <w:ilvl w:val="0"/>
                <w:numId w:val="14"/>
              </w:numPr>
            </w:pPr>
            <w:r w:rsidRPr="008E1E93">
              <w:rPr>
                <w:b/>
              </w:rPr>
              <w:t>Registered Apprenticeships:</w:t>
            </w:r>
            <w:r w:rsidRPr="009C3EED">
              <w:t xml:space="preserve"> on-the-job training to learn a career/trade</w:t>
            </w:r>
          </w:p>
        </w:tc>
        <w:tc>
          <w:tcPr>
            <w:tcW w:w="4940" w:type="dxa"/>
            <w:vAlign w:val="top"/>
          </w:tcPr>
          <w:p w:rsidR="008E1E93" w:rsidRPr="00EB75FD" w:rsidRDefault="008E1E93" w:rsidP="008E1E93">
            <w:pPr>
              <w:ind w:left="0"/>
              <w:rPr>
                <w:b/>
              </w:rPr>
            </w:pPr>
            <w:r w:rsidRPr="00EB75FD">
              <w:rPr>
                <w:b/>
              </w:rPr>
              <w:t>What is an ICAP?</w:t>
            </w:r>
          </w:p>
          <w:p w:rsidR="008E1E93" w:rsidRDefault="008E1E93" w:rsidP="008E1E93">
            <w:pPr>
              <w:ind w:left="0"/>
            </w:pPr>
            <w:r>
              <w:t>ICAP is an individualized career and academic plan that has typically been referred to as a four-year plan created in eighth grade.</w:t>
            </w:r>
          </w:p>
          <w:p w:rsidR="008E1E93" w:rsidRDefault="008E1E93" w:rsidP="008E1E93">
            <w:pPr>
              <w:ind w:left="0"/>
            </w:pPr>
          </w:p>
          <w:p w:rsidR="008E1E93" w:rsidRPr="00EB75FD" w:rsidRDefault="008E1E93" w:rsidP="008E1E93">
            <w:pPr>
              <w:ind w:left="0"/>
              <w:rPr>
                <w:b/>
              </w:rPr>
            </w:pPr>
            <w:r w:rsidRPr="00EB75FD">
              <w:rPr>
                <w:b/>
              </w:rPr>
              <w:t>What role can an educator play in an ICAP?</w:t>
            </w:r>
          </w:p>
          <w:p w:rsidR="00EB75FD" w:rsidRDefault="008E1E93" w:rsidP="008E1E93">
            <w:pPr>
              <w:ind w:left="0"/>
            </w:pPr>
            <w:r>
              <w:t>Adding a simple reflective activity to work-based learning experiences can help students make informed career decisions.</w:t>
            </w:r>
          </w:p>
          <w:p w:rsidR="008E1E93" w:rsidRDefault="008E1E93" w:rsidP="008E1E93">
            <w:pPr>
              <w:ind w:left="0"/>
            </w:pPr>
          </w:p>
          <w:p w:rsidR="008E1E93" w:rsidRPr="00EB75FD" w:rsidRDefault="00EB75FD" w:rsidP="008E1E93">
            <w:pPr>
              <w:ind w:left="0"/>
              <w:rPr>
                <w:b/>
              </w:rPr>
            </w:pPr>
            <w:r>
              <w:rPr>
                <w:b/>
              </w:rPr>
              <w:t>ICAP Reflection Examples:</w:t>
            </w:r>
          </w:p>
          <w:p w:rsidR="008E1E93" w:rsidRPr="00EB75FD" w:rsidRDefault="008E1E93" w:rsidP="00EB75FD">
            <w:pPr>
              <w:pStyle w:val="ListParagraph"/>
              <w:numPr>
                <w:ilvl w:val="0"/>
                <w:numId w:val="15"/>
              </w:numPr>
            </w:pPr>
            <w:r w:rsidRPr="00EB75FD">
              <w:t>Create an exit slip for students to complete at the end of a class where the prompt is simple for the student and elicits a thoughtful response.</w:t>
            </w:r>
          </w:p>
          <w:p w:rsidR="008E1E93" w:rsidRPr="00EB75FD" w:rsidRDefault="008E1E93" w:rsidP="00EB75FD">
            <w:pPr>
              <w:pStyle w:val="ListParagraph"/>
              <w:numPr>
                <w:ilvl w:val="0"/>
                <w:numId w:val="15"/>
              </w:numPr>
            </w:pPr>
            <w:r w:rsidRPr="00EB75FD">
              <w:t>Create a reflection activity that requires students to use the WBL experience to research more about the career, related career or engage in virtual WBL experiences.</w:t>
            </w:r>
          </w:p>
          <w:p w:rsidR="008E1E93" w:rsidRPr="00EB75FD" w:rsidRDefault="008E1E93" w:rsidP="00EB75FD">
            <w:pPr>
              <w:pStyle w:val="ListParagraph"/>
              <w:numPr>
                <w:ilvl w:val="0"/>
                <w:numId w:val="15"/>
              </w:numPr>
            </w:pPr>
            <w:r w:rsidRPr="00EB75FD">
              <w:t>Create an activity that bridges the experience to additional career learning such as a classroom project or an additional WBL experience.</w:t>
            </w:r>
          </w:p>
          <w:p w:rsidR="008E1E93" w:rsidRDefault="008E1E93" w:rsidP="008E1E93">
            <w:pPr>
              <w:ind w:left="0"/>
            </w:pPr>
          </w:p>
          <w:p w:rsidR="00760773" w:rsidRDefault="00EB75FD" w:rsidP="008E1E93">
            <w:pPr>
              <w:ind w:left="0"/>
            </w:pPr>
            <w:r>
              <w:t>Educators are encourage</w:t>
            </w:r>
            <w:r w:rsidR="00A41FC0">
              <w:t>d</w:t>
            </w:r>
            <w:r>
              <w:t xml:space="preserve"> to c</w:t>
            </w:r>
            <w:r w:rsidR="008E1E93">
              <w:t xml:space="preserve">reate </w:t>
            </w:r>
            <w:r>
              <w:t>their</w:t>
            </w:r>
            <w:r w:rsidR="008E1E93">
              <w:t xml:space="preserve"> own reflective activit</w:t>
            </w:r>
            <w:r>
              <w:t>ies</w:t>
            </w:r>
            <w:r w:rsidR="008E1E93">
              <w:t xml:space="preserve"> or review more examples on the Department’s Career and Academic Planning website.</w:t>
            </w:r>
          </w:p>
        </w:tc>
      </w:tr>
    </w:tbl>
    <w:p w:rsidR="00886C9B" w:rsidRDefault="00886C9B">
      <w:pPr>
        <w:ind w:left="0"/>
      </w:pPr>
      <w:bookmarkStart w:id="0" w:name="_GoBack"/>
      <w:bookmarkEnd w:id="0"/>
    </w:p>
    <w:sectPr w:rsidR="00886C9B" w:rsidSect="008F6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990" w:bottom="720" w:left="900" w:header="540" w:footer="4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D2" w:rsidRDefault="00737CD2">
      <w:pPr>
        <w:spacing w:after="0"/>
      </w:pPr>
      <w:r>
        <w:separator/>
      </w:r>
    </w:p>
  </w:endnote>
  <w:endnote w:type="continuationSeparator" w:id="0">
    <w:p w:rsidR="00737CD2" w:rsidRDefault="00737C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8D" w:rsidRDefault="006E24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88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48D" w:rsidRPr="008F68F6" w:rsidRDefault="008F68F6" w:rsidP="008F68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8D" w:rsidRDefault="002329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3860"/>
      </w:tabs>
      <w:spacing w:after="0"/>
      <w:ind w:left="0"/>
      <w:rPr>
        <w:i/>
        <w:color w:val="222222"/>
        <w:sz w:val="16"/>
        <w:szCs w:val="16"/>
        <w:highlight w:val="white"/>
      </w:rPr>
    </w:pPr>
    <w:r>
      <w:rPr>
        <w:i/>
        <w:color w:val="222222"/>
        <w:sz w:val="16"/>
        <w:szCs w:val="16"/>
        <w:highlight w:val="white"/>
      </w:rPr>
      <w:tab/>
    </w: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77F9D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  <w:p w:rsidR="006E248D" w:rsidRDefault="006E24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D2" w:rsidRDefault="00737CD2">
      <w:pPr>
        <w:spacing w:after="0"/>
      </w:pPr>
      <w:r>
        <w:separator/>
      </w:r>
    </w:p>
  </w:footnote>
  <w:footnote w:type="continuationSeparator" w:id="0">
    <w:p w:rsidR="00737CD2" w:rsidRDefault="00737C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8D" w:rsidRDefault="006E24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8D" w:rsidRDefault="0023182C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-4445</wp:posOffset>
              </wp:positionH>
              <wp:positionV relativeFrom="margin">
                <wp:posOffset>-663737</wp:posOffset>
              </wp:positionV>
              <wp:extent cx="8787765" cy="297180"/>
              <wp:effectExtent l="0" t="0" r="0" b="7620"/>
              <wp:wrapNone/>
              <wp:docPr id="12" name="Rectangle 12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7765" cy="29718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6E248D" w:rsidRDefault="006E248D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2" o:spid="_x0000_s1026" alt="Title: blue box - Description: blue box" style="position:absolute;left:0;text-align:left;margin-left:-.35pt;margin-top:-52.25pt;width:691.95pt;height:23.4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Vt6gEAAMMDAAAOAAAAZHJzL2Uyb0RvYy54bWysU2Fr2zAQ/T7YfxD6vjg2a5OGOKW0ZAzK&#10;FtbtB8iybAtkSbtTYuff7yS7abZ9GyOg6J1Op/fenbf3Y2/YSQFqZ0ueL5acKStdrW1b8h/f9x/W&#10;nGEQthbGWVXys0J+v3v/bjv4jSpc50ytgFERi5vBl7wLwW+yDGWneoEL55Wlw8ZBLwJBaLMaxEDV&#10;e5MVy+VtNjioPTipECn6NB3yXarfNEqGr02DKjBTcuIW0gppreKa7bZi04LwnZYzDfEPLHqhLT16&#10;KfUkgmBH0H+V6rUEh64JC+n6zDWNlippIDX58g81L53wKmkhc9BfbML/V1Z+OR2A6Zp6V3BmRU89&#10;+kauCdsaxWKsVijJsMocFavcSB7qYCjrEiALB48bqvTiDzAjpG30Y2ygj/+klI3J9vPFdjUGJim4&#10;Xq1Xq9sbziSdFXerfJ36kr3d9oDhk3I9i5uSAxFMbovTMwZ6kVJfU+Jj6Iyu99qYBKCtHg2wk6AR&#10;eLiJv9h1uvJbmrEx2bp4bTqOkSwqm7TEXRircRZYufpMzqGXe02kngWGgwCanZyzgeap5PjzKEBx&#10;Zj5bathd/rEgieEawDWoroGwsnPkugzA2QQeQxrbieXDMbhGJ+mR10RmpkuTkuTNUx1H8RqnrLdv&#10;b/cLAAD//wMAUEsDBBQABgAIAAAAIQDCvaiz4gAAAAsBAAAPAAAAZHJzL2Rvd25yZXYueG1sTI9N&#10;T8MwDIbvSPyHyEhc0Jauo3QqTScE4lAOIPYB16w1bUXjVE36wb/HO8HJsv3o9eN0O5tWjNi7xpKC&#10;1TIAgVTYsqFKwWH/vNiAcF5TqVtLqOAHHWyzy4tUJ6Wd6B3Hna8Eh5BLtILa+y6R0hU1Gu2WtkPi&#10;3Zftjfbc9pUsez1xuGllGAR30uiG+EKtO3yssfjeDUbBmE9x+HR4G+xH9Ikvr2Gub465UtdX88M9&#10;CI+z/4PhrM/qkLHTyQ5UOtEqWMQMclkFtxGIM7DerEMQJ55FcQwyS+X/H7JfAAAA//8DAFBLAQIt&#10;ABQABgAIAAAAIQC2gziS/gAAAOEBAAATAAAAAAAAAAAAAAAAAAAAAABbQ29udGVudF9UeXBlc10u&#10;eG1sUEsBAi0AFAAGAAgAAAAhADj9If/WAAAAlAEAAAsAAAAAAAAAAAAAAAAALwEAAF9yZWxzLy5y&#10;ZWxzUEsBAi0AFAAGAAgAAAAhAGaUFW3qAQAAwwMAAA4AAAAAAAAAAAAAAAAALgIAAGRycy9lMm9E&#10;b2MueG1sUEsBAi0AFAAGAAgAAAAhAMK9qLPiAAAACwEAAA8AAAAAAAAAAAAAAAAARAQAAGRycy9k&#10;b3ducmV2LnhtbFBLBQYAAAAABAAEAPMAAABTBQAAAAA=&#10;" fillcolor="#a5a5a5" stroked="f">
              <v:textbox inset="2.53958mm,2.53958mm,2.53958mm,2.53958mm">
                <w:txbxContent>
                  <w:p w:rsidR="006E248D" w:rsidRDefault="006E248D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53BF3D20" wp14:editId="6A98C6F8">
          <wp:simplePos x="0" y="0"/>
          <wp:positionH relativeFrom="column">
            <wp:posOffset>7924800</wp:posOffset>
          </wp:positionH>
          <wp:positionV relativeFrom="paragraph">
            <wp:posOffset>-152400</wp:posOffset>
          </wp:positionV>
          <wp:extent cx="707390" cy="707390"/>
          <wp:effectExtent l="0" t="0" r="0" b="0"/>
          <wp:wrapNone/>
          <wp:docPr id="2" name="image5.png" descr="Iowa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owa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2945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560388</wp:posOffset>
              </wp:positionV>
              <wp:extent cx="8787765" cy="72390"/>
              <wp:effectExtent l="0" t="0" r="0" b="0"/>
              <wp:wrapNone/>
              <wp:docPr id="9" name="Rectangle 9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748568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6E248D" w:rsidRDefault="006E248D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7" alt="Title: light blue box - Description: light blue box" style="position:absolute;left:0;text-align:left;margin-left:-.35pt;margin-top:44.15pt;width:691.95pt;height:5.7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1m+gEAAN4DAAAOAAAAZHJzL2Uyb0RvYy54bWysU8tu2zAQvBfoPxC817JUPxTDcpAmcFEg&#10;aIym/QCKoiQCFMkuaUv++y4pNXbTW5ALzdkdD3dnV9vboVPkJMBJowuazuaUCM1NJXVT0F8/959y&#10;SpxnumLKaFHQs3D0dvfxw7a3G5GZ1qhKAEER7Ta9LWjrvd0kieOt6JibGSs0JmsDHfMIoUkqYD2q&#10;dyrJ5vNV0huoLBgunMPow5iku6hf14L7p7p2whNVUKzNxxPiWYYz2W3ZpgFmW8mnMtgbquiY1Pjo&#10;i9QD84wcQf4n1UkOxpnaz7jpElPXkovYA3aTzl9189wyK2IvaI6zLza595Pl308HILIq6A0lmnU4&#10;oh9oGtONEgRDlXAc7VKyaT0p1VGQ0gzoo/QKqa/CaGZv3QY1n+0BJuTwGpwZaujCL/ZMBnxuucpz&#10;nMi5oJ/XixzROAsxeMIxn6/XebZAAkfGKstXy5BPLjoWnP8qTEfCpaCAVccJsNOj8yP1LyU864yS&#10;1V4qFQE05b0CcmJhLebZ3eLLpP4PTelA1ib8bVQMkST0OHYVbn4oh2hgGiRCpDTVGU11lu8l1vbI&#10;nD8wwLVKKelx1Qrqfh8ZCErUN42zvEkX2RI9vQZwDcprwDRvDY6Ee6BkBPc+bvRY7N3Rm1pGBy7F&#10;TFXjEkUPp4UPW3qNI+vyWe7+AAAA//8DAFBLAwQUAAYACAAAACEAhswq9N0AAAAIAQAADwAAAGRy&#10;cy9kb3ducmV2LnhtbEyPwW7CMBBE75X6D9Yi9QYOiVRCGge1SEjlCLT3JV5iq7GdxiZJ+/U1p3Jc&#10;zejN23IzmZYN1HvtrIDlIgFGtnZS20bAx2k3z4H5gFZi6ywJ+CEPm+rxocRCutEeaDiGhkWI9QUK&#10;UCF0Bee+VmTQL1xHNmYX1xsM8ewbLnscI9y0PE2SZ25Q27igsKOtovrreDUC1sPwvt99v221Tve/&#10;eKHDafxUQjzNptcXYIGm8F+Gm35Uhyo6nd3VSs9aAfNVLArI8wzYLc7yLAV2jvD1CnhV8vsHqj8A&#10;AAD//wMAUEsBAi0AFAAGAAgAAAAhALaDOJL+AAAA4QEAABMAAAAAAAAAAAAAAAAAAAAAAFtDb250&#10;ZW50X1R5cGVzXS54bWxQSwECLQAUAAYACAAAACEAOP0h/9YAAACUAQAACwAAAAAAAAAAAAAAAAAv&#10;AQAAX3JlbHMvLnJlbHNQSwECLQAUAAYACAAAACEA07s9ZvoBAADeAwAADgAAAAAAAAAAAAAAAAAu&#10;AgAAZHJzL2Uyb0RvYy54bWxQSwECLQAUAAYACAAAACEAhswq9N0AAAAIAQAADwAAAAAAAAAAAAAA&#10;AABUBAAAZHJzL2Rvd25yZXYueG1sUEsFBgAAAAAEAAQA8wAAAF4FAAAAAA==&#10;" fillcolor="#002a4b" stroked="f">
              <v:textbox inset="2.53958mm,2.53958mm,2.53958mm,2.53958mm">
                <w:txbxContent>
                  <w:p w:rsidR="006E248D" w:rsidRDefault="006E248D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232945">
      <w:rPr>
        <w:b/>
        <w:color w:val="002A4B"/>
      </w:rPr>
      <w:t>Iowa Department of Education</w:t>
    </w:r>
  </w:p>
  <w:p w:rsidR="006E248D" w:rsidRDefault="006E24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:rsidR="0023182C" w:rsidRDefault="00231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8D" w:rsidRDefault="00232945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530543</wp:posOffset>
              </wp:positionV>
              <wp:extent cx="8787765" cy="7239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748568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6E248D" w:rsidRDefault="006E248D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" o:spid="_x0000_s1028" style="position:absolute;left:0;text-align:left;margin-left:-.35pt;margin-top:41.8pt;width:691.95pt;height:5.7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So5AEAALIDAAAOAAAAZHJzL2Uyb0RvYy54bWysU9uOmzAQfa/Uf7D83kBoLiwKWW13larS&#10;qo267QcYY8CSsd2xE8jfd2zoJm3fqr4Yn5nhMHPmsLsfe0XOApw0uqTLRUqJ0NzUUrcl/f7t8C6n&#10;xHmma6aMFiW9CEfv92/f7AZbiMx0RtUCCJJoVwy2pJ33tkgSxzvRM7cwVmhMNgZ65hFCm9TABmTv&#10;VZKl6SYZDNQWDBfOYfRpStJ95G8awf2XpnHCE1VS7M3HE+JZhTPZ71jRArOd5HMb7B+66JnU+NFX&#10;qifmGTmB/IuqlxyMM41fcNMnpmkkF3EGnGaZ/jHNS8esiLOgOM6+yuT+Hy3/fD4CkTXuDuXRrMcd&#10;fUXVmG6VIBhDgQbrCqx7sUeYkcNrmHZsoA9PnIOMJb1bb/IcaS4lfb9d5YgmfcXoCcd8vt3m2QoL&#10;OFZssnyzDvnkymPB+Y/C9CRcSgrYSFSVnZ+dn0p/lYTPOqNkfZBKRQBt9aiAnFlYdZo9rD7M7L+V&#10;KR2KtQmvTYwhkoQZp6nCzY/VGEXJAkWIVKa+oFDO8oPE3p6Z80cGaJUlJQPap6Tux4mBoER90rif&#10;u+UqW6PfbgHcguoWMM07g67kHiiZwKOPLp2afTh508iowLWZuWs0RtRwNnFw3i2OVddfbf8TAAD/&#10;/wMAUEsDBBQABgAIAAAAIQB3wQh53QAAAAgBAAAPAAAAZHJzL2Rvd25yZXYueG1sTI/BTsMwEETv&#10;SPyDtUjcWodElJDGqaBSJXpsC3c33sZW43WI3STw9bgnelzN6M3bcjXZlg3Ye+NIwNM8AYZUO2Wo&#10;EfB52MxyYD5IUrJ1hAJ+0MOqur8rZaHcSDsc9qFhEUK+kAJ0CF3Bua81WunnrkOK2cn1VoZ49g1X&#10;vRwj3LY8TZIFt9JQXNCyw7XG+ry/WAGvw/Cx3Xy/r41Jt7/yhLvD+KWFeHyY3pbAAk7hvwxX/agO&#10;VXQ6ugspz1oBs5dYFJBnC2DXOMuzFNgxwp8T4FXJbx+o/gAAAP//AwBQSwECLQAUAAYACAAAACEA&#10;toM4kv4AAADhAQAAEwAAAAAAAAAAAAAAAAAAAAAAW0NvbnRlbnRfVHlwZXNdLnhtbFBLAQItABQA&#10;BgAIAAAAIQA4/SH/1gAAAJQBAAALAAAAAAAAAAAAAAAAAC8BAABfcmVscy8ucmVsc1BLAQItABQA&#10;BgAIAAAAIQCYW5So5AEAALIDAAAOAAAAAAAAAAAAAAAAAC4CAABkcnMvZTJvRG9jLnhtbFBLAQIt&#10;ABQABgAIAAAAIQB3wQh53QAAAAgBAAAPAAAAAAAAAAAAAAAAAD4EAABkcnMvZG93bnJldi54bWxQ&#10;SwUGAAAAAAQABADzAAAASAUAAAAA&#10;" fillcolor="#002a4b" stroked="f">
              <v:textbox inset="2.53958mm,2.53958mm,2.53958mm,2.53958mm">
                <w:txbxContent>
                  <w:p w:rsidR="006E248D" w:rsidRDefault="006E248D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topMargin">
                <wp:posOffset>272733</wp:posOffset>
              </wp:positionV>
              <wp:extent cx="8787765" cy="29718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636173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6E248D" w:rsidRDefault="006E248D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1" o:spid="_x0000_s1029" style="position:absolute;left:0;text-align:left;margin-left:-.35pt;margin-top:21.5pt;width:691.95pt;height:23.4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yh5gEAALMDAAAOAAAAZHJzL2Uyb0RvYy54bWysU9uK2zAQfS/0H4TeG8fJxvGaOMuyS0ph&#10;aUO3/QBZlmOBbh0psfP3HcnpJm3fSjHImtHx0Zwz483DqBU5CfDSmprmszklwnDbSnOo6fdvuw8l&#10;JT4w0zJljajpWXj6sH3/bjO4Sixsb1UrgCCJ8dXgatqH4Kos87wXmvmZdcLgYWdBs4AhHLIW2IDs&#10;WmWL+bzIBgutA8uF95h9ng7pNvF3neDhS9d5EYiqKdYW0gppbeKabTesOgBzveSXMtg/VKGZNHjp&#10;G9UzC4wcQf5FpSUH620XZtzqzHad5CJpQDX5/A81rz1zImlBc7x7s8n/P1r++bQHIlvsXU6JYRp7&#10;9BVdY+agBMEcGjQ4XyHu1e3hEnncRrVjBzq+UQcZa3q/KsoSXT7XdFksi3y9nPwVYyAcz8v1ulzc&#10;IYAjYlGui9UqArIrkQMfPgqrSdzUFLCSZCs7vfgwQX9B4r3eKtnupFIpgEPzpICcGPb6cRWfC/tv&#10;MGUi2Nj42cQYM1kUOcmKuzA2Y3IlKYiZxrZndMo7vpNY2wvzYc8AZwVtG3B+aup/HBkIStQngw26&#10;z+8WKxy42wBug+Y2YIb3FseSB6BkCp5CGtOp2MdjsJ1MDlyLuVSNk5E8vExxHL3bOKGu/9r2JwAA&#10;AP//AwBQSwMEFAAGAAgAAAAhAGORfnDfAAAACAEAAA8AAABkcnMvZG93bnJldi54bWxMj09Pg0AU&#10;xO8mfofNM/Fi2kXQFpFHYzQe6EFjW/W6hScQ2beEXf747d2e9DiZycxv0s2sWzFSbxvDCNfLAARx&#10;YcqGK4TD/nkRg7BOcalaw4TwQxY22flZqpLSTPxG485VwpewTRRC7VyXSGmLmrSyS9MRe+/L9Fo5&#10;L/tKlr2afLluZRgEK6lVw36hVh091lR87waNMObTOnw6vA7m4/aTti9hrq7ec8TLi/nhHoSj2f2F&#10;4YTv0SHzTEczcGlFi7BY+yDCTeQfnewojkIQR4T4LgaZpfL/gewXAAD//wMAUEsBAi0AFAAGAAgA&#10;AAAhALaDOJL+AAAA4QEAABMAAAAAAAAAAAAAAAAAAAAAAFtDb250ZW50X1R5cGVzXS54bWxQSwEC&#10;LQAUAAYACAAAACEAOP0h/9YAAACUAQAACwAAAAAAAAAAAAAAAAAvAQAAX3JlbHMvLnJlbHNQSwEC&#10;LQAUAAYACAAAACEABIi8oeYBAACzAwAADgAAAAAAAAAAAAAAAAAuAgAAZHJzL2Uyb0RvYy54bWxQ&#10;SwECLQAUAAYACAAAACEAY5F+cN8AAAAIAQAADwAAAAAAAAAAAAAAAABABAAAZHJzL2Rvd25yZXYu&#10;eG1sUEsFBgAAAAAEAAQA8wAAAEwFAAAAAA==&#10;" fillcolor="#a5a5a5" stroked="f">
              <v:textbox inset="2.53958mm,2.53958mm,2.53958mm,2.53958mm">
                <w:txbxContent>
                  <w:p w:rsidR="006E248D" w:rsidRDefault="006E248D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b/>
        <w:color w:val="002A4B"/>
      </w:rPr>
      <w:t>Iowa Department of Education</w:t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7918940</wp:posOffset>
          </wp:positionH>
          <wp:positionV relativeFrom="paragraph">
            <wp:posOffset>0</wp:posOffset>
          </wp:positionV>
          <wp:extent cx="707390" cy="707390"/>
          <wp:effectExtent l="0" t="0" r="0" b="0"/>
          <wp:wrapNone/>
          <wp:docPr id="1" name="image5.png" descr="Iowa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owa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6CB4"/>
    <w:multiLevelType w:val="multilevel"/>
    <w:tmpl w:val="1ECE124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2AEB"/>
    <w:multiLevelType w:val="hybridMultilevel"/>
    <w:tmpl w:val="7E1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ECC"/>
    <w:multiLevelType w:val="multilevel"/>
    <w:tmpl w:val="B5DC49F0"/>
    <w:lvl w:ilvl="0">
      <w:start w:val="1"/>
      <w:numFmt w:val="bullet"/>
      <w:lvlText w:val="●"/>
      <w:lvlJc w:val="left"/>
      <w:pPr>
        <w:ind w:left="8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FB736E"/>
    <w:multiLevelType w:val="multilevel"/>
    <w:tmpl w:val="0D10A360"/>
    <w:lvl w:ilvl="0">
      <w:start w:val="1"/>
      <w:numFmt w:val="bullet"/>
      <w:lvlText w:val="●"/>
      <w:lvlJc w:val="left"/>
      <w:pPr>
        <w:ind w:left="8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EC672B"/>
    <w:multiLevelType w:val="hybridMultilevel"/>
    <w:tmpl w:val="72F0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4DA"/>
    <w:multiLevelType w:val="hybridMultilevel"/>
    <w:tmpl w:val="3E128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1CE1"/>
    <w:multiLevelType w:val="multilevel"/>
    <w:tmpl w:val="45089B58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lowerLetter"/>
      <w:lvlText w:val="%2."/>
      <w:lvlJc w:val="left"/>
      <w:pPr>
        <w:ind w:left="1613" w:hanging="360"/>
      </w:pPr>
    </w:lvl>
    <w:lvl w:ilvl="2">
      <w:start w:val="1"/>
      <w:numFmt w:val="lowerRoman"/>
      <w:lvlText w:val="%3."/>
      <w:lvlJc w:val="right"/>
      <w:pPr>
        <w:ind w:left="2333" w:hanging="180"/>
      </w:pPr>
    </w:lvl>
    <w:lvl w:ilvl="3">
      <w:start w:val="1"/>
      <w:numFmt w:val="decimal"/>
      <w:lvlText w:val="%4."/>
      <w:lvlJc w:val="left"/>
      <w:pPr>
        <w:ind w:left="3053" w:hanging="360"/>
      </w:pPr>
    </w:lvl>
    <w:lvl w:ilvl="4">
      <w:start w:val="1"/>
      <w:numFmt w:val="lowerLetter"/>
      <w:lvlText w:val="%5."/>
      <w:lvlJc w:val="left"/>
      <w:pPr>
        <w:ind w:left="3773" w:hanging="360"/>
      </w:pPr>
    </w:lvl>
    <w:lvl w:ilvl="5">
      <w:start w:val="1"/>
      <w:numFmt w:val="lowerRoman"/>
      <w:lvlText w:val="%6."/>
      <w:lvlJc w:val="right"/>
      <w:pPr>
        <w:ind w:left="4493" w:hanging="180"/>
      </w:pPr>
    </w:lvl>
    <w:lvl w:ilvl="6">
      <w:start w:val="1"/>
      <w:numFmt w:val="decimal"/>
      <w:lvlText w:val="%7."/>
      <w:lvlJc w:val="left"/>
      <w:pPr>
        <w:ind w:left="5213" w:hanging="360"/>
      </w:pPr>
    </w:lvl>
    <w:lvl w:ilvl="7">
      <w:start w:val="1"/>
      <w:numFmt w:val="lowerLetter"/>
      <w:lvlText w:val="%8."/>
      <w:lvlJc w:val="left"/>
      <w:pPr>
        <w:ind w:left="5933" w:hanging="360"/>
      </w:pPr>
    </w:lvl>
    <w:lvl w:ilvl="8">
      <w:start w:val="1"/>
      <w:numFmt w:val="lowerRoman"/>
      <w:lvlText w:val="%9."/>
      <w:lvlJc w:val="right"/>
      <w:pPr>
        <w:ind w:left="6653" w:hanging="180"/>
      </w:pPr>
    </w:lvl>
  </w:abstractNum>
  <w:abstractNum w:abstractNumId="7" w15:restartNumberingAfterBreak="0">
    <w:nsid w:val="2EFB03AD"/>
    <w:multiLevelType w:val="hybridMultilevel"/>
    <w:tmpl w:val="486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46EBB"/>
    <w:multiLevelType w:val="hybridMultilevel"/>
    <w:tmpl w:val="8D8C9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FE6AA5"/>
    <w:multiLevelType w:val="multilevel"/>
    <w:tmpl w:val="0DAE25CA"/>
    <w:lvl w:ilvl="0">
      <w:start w:val="1"/>
      <w:numFmt w:val="bullet"/>
      <w:lvlText w:val="●"/>
      <w:lvlJc w:val="left"/>
      <w:pPr>
        <w:ind w:left="8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4D24D0"/>
    <w:multiLevelType w:val="hybridMultilevel"/>
    <w:tmpl w:val="02362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E1EFC"/>
    <w:multiLevelType w:val="hybridMultilevel"/>
    <w:tmpl w:val="A7C0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81750"/>
    <w:multiLevelType w:val="hybridMultilevel"/>
    <w:tmpl w:val="32928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64899"/>
    <w:multiLevelType w:val="multilevel"/>
    <w:tmpl w:val="A93E4A54"/>
    <w:lvl w:ilvl="0">
      <w:start w:val="1"/>
      <w:numFmt w:val="bullet"/>
      <w:lvlText w:val="●"/>
      <w:lvlJc w:val="left"/>
      <w:pPr>
        <w:ind w:left="8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F90622"/>
    <w:multiLevelType w:val="hybridMultilevel"/>
    <w:tmpl w:val="E0908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8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8D"/>
    <w:rsid w:val="00055593"/>
    <w:rsid w:val="00140900"/>
    <w:rsid w:val="001965D4"/>
    <w:rsid w:val="0023182C"/>
    <w:rsid w:val="00232945"/>
    <w:rsid w:val="00237084"/>
    <w:rsid w:val="0024703C"/>
    <w:rsid w:val="006B18DD"/>
    <w:rsid w:val="006E248D"/>
    <w:rsid w:val="0072509D"/>
    <w:rsid w:val="00737CD2"/>
    <w:rsid w:val="00760773"/>
    <w:rsid w:val="00886C9B"/>
    <w:rsid w:val="008E1E93"/>
    <w:rsid w:val="008F68F6"/>
    <w:rsid w:val="009C3EED"/>
    <w:rsid w:val="00A41FC0"/>
    <w:rsid w:val="00B77F9D"/>
    <w:rsid w:val="00D47037"/>
    <w:rsid w:val="00D77B97"/>
    <w:rsid w:val="00DC23B2"/>
    <w:rsid w:val="00E45B96"/>
    <w:rsid w:val="00E63605"/>
    <w:rsid w:val="00EB75FD"/>
    <w:rsid w:val="00F63BA6"/>
    <w:rsid w:val="00F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099D9"/>
  <w15:docId w15:val="{A323F9E7-516F-4B26-8ED9-9726C44C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eastAsiaTheme="majorEastAsia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eastAsiaTheme="majorEastAsia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BC"/>
    <w:pPr>
      <w:keepNext/>
      <w:keepLines/>
      <w:spacing w:before="120" w:after="0"/>
      <w:ind w:left="0"/>
      <w:outlineLvl w:val="2"/>
    </w:pPr>
    <w:rPr>
      <w:rFonts w:eastAsiaTheme="majorEastAsia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0B0185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B018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1E0"/>
    <w:pPr>
      <w:spacing w:after="120"/>
      <w:ind w:left="1728" w:right="1728"/>
      <w:contextualSpacing/>
      <w:jc w:val="center"/>
    </w:pPr>
    <w:rPr>
      <w:rFonts w:eastAsiaTheme="majorEastAsia" w:cstheme="majorBidi"/>
      <w:b/>
      <w:color w:val="002A4B"/>
      <w:kern w:val="28"/>
      <w:sz w:val="38"/>
      <w:szCs w:val="56"/>
    </w:rPr>
  </w:style>
  <w:style w:type="paragraph" w:styleId="ListParagraph">
    <w:name w:val="List Paragraph"/>
    <w:basedOn w:val="Normal"/>
    <w:uiPriority w:val="1"/>
    <w:qFormat/>
    <w:rsid w:val="00C30548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eastAsia="Times New Roman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AF78FD"/>
    <w:pPr>
      <w:spacing w:after="0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/>
    </w:pPr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78F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6D2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  <w:style w:type="table" w:customStyle="1" w:styleId="a0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1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eiowa.gov/documents/iowa-work-based-learning-gui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ducateiowa.gov/documents/iowa-work-based-learning-gui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f/Q6cPkBXWqEjHy4UV8LFjkSxA==">AMUW2mUL5lERaDhEvDMY+8gLnxFYZNHweifr/w+zZhO65/NS3sHRZegTjZBCwosmsWIUz61sMvIgYzwpGGjPj3y/ct0KRD2KfUfh6fIzFQxC8CkJVv5Y5ZJxFV+kNBhnLUqfIR2h7hcU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C6234A-8424-443C-A2B5-11507540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Jepsen, Alison [IDOE]</dc:creator>
  <cp:lastModifiedBy>Albers, Lisa [IDOE]</cp:lastModifiedBy>
  <cp:revision>2</cp:revision>
  <dcterms:created xsi:type="dcterms:W3CDTF">2023-02-28T13:47:00Z</dcterms:created>
  <dcterms:modified xsi:type="dcterms:W3CDTF">2023-02-28T13:47:00Z</dcterms:modified>
</cp:coreProperties>
</file>