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368" w:rsidRDefault="00D602EF">
      <w:pPr>
        <w:spacing w:after="240"/>
        <w:ind w:right="90" w:firstLine="173"/>
        <w:jc w:val="right"/>
        <w:rPr>
          <w:b/>
          <w:smallCaps/>
          <w:sz w:val="26"/>
          <w:szCs w:val="26"/>
        </w:rPr>
      </w:pPr>
      <w:r>
        <w:rPr>
          <w:b/>
          <w:smallCaps/>
          <w:noProof/>
          <w:color w:val="FFFFFF"/>
          <w:sz w:val="26"/>
          <w:szCs w:val="26"/>
        </w:rPr>
        <mc:AlternateContent>
          <mc:Choice Requires="wps">
            <w:drawing>
              <wp:anchor distT="0" distB="0" distL="114300" distR="114300" simplePos="0" relativeHeight="251658240" behindDoc="0" locked="0" layoutInCell="1" hidden="0" allowOverlap="1">
                <wp:simplePos x="0" y="0"/>
                <wp:positionH relativeFrom="page">
                  <wp:posOffset>4567238</wp:posOffset>
                </wp:positionH>
                <wp:positionV relativeFrom="page">
                  <wp:posOffset>909638</wp:posOffset>
                </wp:positionV>
                <wp:extent cx="2752725" cy="128397"/>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3974400" y="3720564"/>
                          <a:ext cx="2743200" cy="118872"/>
                        </a:xfrm>
                        <a:prstGeom prst="rect">
                          <a:avLst/>
                        </a:prstGeom>
                        <a:solidFill>
                          <a:srgbClr val="B8E1DA"/>
                        </a:solidFill>
                        <a:ln>
                          <a:noFill/>
                        </a:ln>
                      </wps:spPr>
                      <wps:txbx>
                        <w:txbxContent>
                          <w:p w:rsidR="00AD0368" w:rsidRDefault="00AD0368">
                            <w:pPr>
                              <w:spacing w:after="0"/>
                              <w:ind w:left="0"/>
                              <w:textDirection w:val="btLr"/>
                            </w:pPr>
                          </w:p>
                        </w:txbxContent>
                      </wps:txbx>
                      <wps:bodyPr spcFirstLastPara="1" wrap="square" lIns="91425" tIns="91425" rIns="91425" bIns="91425" anchor="ctr" anchorCtr="0">
                        <a:noAutofit/>
                      </wps:bodyPr>
                    </wps:wsp>
                  </a:graphicData>
                </a:graphic>
              </wp:anchor>
            </w:drawing>
          </mc:Choice>
          <mc:Fallback>
            <w:pict>
              <v:rect id="Rectangle 5" o:spid="_x0000_s1026" style="position:absolute;left:0;text-align:left;margin-left:359.65pt;margin-top:71.65pt;width:216.75pt;height:10.1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" fillcolor="#b8e1da" stroked="f">
                <v:textbox inset="2.53958mm,2.53958mm,2.53958mm,2.53958mm">
                  <w:txbxContent>
                    <w:p w:rsidR="00AD0368" w:rsidRDefault="00AD0368">
                      <w:pPr>
                        <w:spacing w:after="0"/>
                        <w:ind w:left="0"/>
                        <w:textDirection w:val="btLr"/>
                      </w:pPr>
                    </w:p>
                  </w:txbxContent>
                </v:textbox>
                <w10:wrap anchorx="page" anchory="page"/>
              </v:rect>
            </w:pict>
          </mc:Fallback>
        </mc:AlternateContent>
      </w:r>
      <w:r>
        <w:rPr>
          <w:b/>
          <w:smallCaps/>
          <w:noProof/>
          <w:color w:val="FFFFFF"/>
          <w:sz w:val="26"/>
          <w:szCs w:val="26"/>
        </w:rPr>
        <mc:AlternateContent>
          <mc:Choice Requires="wps">
            <w:drawing>
              <wp:anchor distT="0" distB="0" distL="0" distR="0" simplePos="0" relativeHeight="251659264" behindDoc="1" locked="0" layoutInCell="1" hidden="0" allowOverlap="1">
                <wp:simplePos x="0" y="0"/>
                <wp:positionH relativeFrom="page">
                  <wp:posOffset>452438</wp:posOffset>
                </wp:positionH>
                <wp:positionV relativeFrom="page">
                  <wp:posOffset>452438</wp:posOffset>
                </wp:positionV>
                <wp:extent cx="6867525" cy="466725"/>
                <wp:effectExtent l="0" t="0" r="0" b="0"/>
                <wp:wrapNone/>
                <wp:docPr id="6" name="Rectangle 6" descr="Iowa Department of Education Guidance"/>
                <wp:cNvGraphicFramePr/>
                <a:graphic xmlns:a="http://schemas.openxmlformats.org/drawingml/2006/main">
                  <a:graphicData uri="http://schemas.microsoft.com/office/word/2010/wordprocessingShape">
                    <wps:wsp>
                      <wps:cNvSpPr/>
                      <wps:spPr>
                        <a:xfrm>
                          <a:off x="1917000" y="3551400"/>
                          <a:ext cx="6858000" cy="457200"/>
                        </a:xfrm>
                        <a:prstGeom prst="rect">
                          <a:avLst/>
                        </a:prstGeom>
                        <a:solidFill>
                          <a:schemeClr val="accent1"/>
                        </a:solidFill>
                        <a:ln>
                          <a:noFill/>
                        </a:ln>
                      </wps:spPr>
                      <wps:txbx>
                        <w:txbxContent>
                          <w:p w:rsidR="00AD0368" w:rsidRDefault="00AD0368">
                            <w:pPr>
                              <w:spacing w:after="0"/>
                              <w:ind w:left="0"/>
                              <w:textDirection w:val="btLr"/>
                            </w:pPr>
                          </w:p>
                        </w:txbxContent>
                      </wps:txbx>
                      <wps:bodyPr spcFirstLastPara="1" wrap="square" lIns="91425" tIns="91425" rIns="91425" bIns="91425" anchor="ctr" anchorCtr="0">
                        <a:noAutofit/>
                      </wps:bodyPr>
                    </wps:wsp>
                  </a:graphicData>
                </a:graphic>
              </wp:anchor>
            </w:drawing>
          </mc:Choice>
          <mc:Fallback>
            <w:pict>
              <v:rect id="Rectangle 6" o:spid="_x0000_s1027" alt="Iowa Department of Education Guidance" style="position:absolute;left:0;text-align:left;margin-left:35.65pt;margin-top:35.65pt;width:540.75pt;height:36.75pt;z-index:-25165721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" fillcolor="#03617a [3204]" stroked="f">
                <v:textbox inset="2.53958mm,2.53958mm,2.53958mm,2.53958mm">
                  <w:txbxContent>
                    <w:p w:rsidR="00AD0368" w:rsidRDefault="00AD0368">
                      <w:pPr>
                        <w:spacing w:after="0"/>
                        <w:ind w:left="0"/>
                        <w:textDirection w:val="btLr"/>
                      </w:pPr>
                    </w:p>
                  </w:txbxContent>
                </v:textbox>
                <w10:wrap anchorx="page" anchory="page"/>
              </v:rect>
            </w:pict>
          </mc:Fallback>
        </mc:AlternateContent>
      </w:r>
      <w:r>
        <w:rPr>
          <w:b/>
          <w:smallCaps/>
          <w:color w:val="FFFFFF"/>
          <w:sz w:val="26"/>
          <w:szCs w:val="26"/>
        </w:rPr>
        <w:t>IOWA DEPARTMENT OF EDUCATION GUIDANCE</w:t>
      </w:r>
    </w:p>
    <w:p w:rsidR="00AD0368" w:rsidRDefault="00D602EF">
      <w:pPr>
        <w:tabs>
          <w:tab w:val="right" w:pos="10800"/>
        </w:tabs>
        <w:spacing w:before="360" w:after="360"/>
        <w:ind w:left="0"/>
        <w:rPr>
          <w:b/>
          <w:color w:val="323E4F"/>
          <w:sz w:val="24"/>
          <w:szCs w:val="24"/>
        </w:rPr>
      </w:pPr>
      <w:r>
        <w:rPr>
          <w:b/>
          <w:color w:val="323E4F"/>
          <w:sz w:val="24"/>
          <w:szCs w:val="24"/>
        </w:rPr>
        <w:tab/>
      </w:r>
      <w:r>
        <w:rPr>
          <w:b/>
          <w:color w:val="002A4B"/>
          <w:sz w:val="24"/>
          <w:szCs w:val="24"/>
        </w:rPr>
        <w:t>April 2024</w:t>
      </w:r>
      <w:r>
        <w:rPr>
          <w:noProof/>
        </w:rPr>
        <w:drawing>
          <wp:anchor distT="0" distB="0" distL="114300" distR="114300" simplePos="0" relativeHeight="251660288" behindDoc="0" locked="0" layoutInCell="1" hidden="0" allowOverlap="1">
            <wp:simplePos x="0" y="0"/>
            <wp:positionH relativeFrom="column">
              <wp:posOffset>4447</wp:posOffset>
            </wp:positionH>
            <wp:positionV relativeFrom="paragraph">
              <wp:posOffset>0</wp:posOffset>
            </wp:positionV>
            <wp:extent cx="3349625" cy="307975"/>
            <wp:effectExtent l="0" t="0" r="0" b="0"/>
            <wp:wrapNone/>
            <wp:docPr id="7" name="image1.png" descr="Iowa Department of Education logo"/>
            <wp:cNvGraphicFramePr/>
            <a:graphic xmlns:a="http://schemas.openxmlformats.org/drawingml/2006/main">
              <a:graphicData uri="http://schemas.openxmlformats.org/drawingml/2006/picture">
                <pic:pic xmlns:pic="http://schemas.openxmlformats.org/drawingml/2006/picture">
                  <pic:nvPicPr>
                    <pic:cNvPr id="0" name="image1.png" descr="Iowa Department of Education logo"/>
                    <pic:cNvPicPr preferRelativeResize="0"/>
                  </pic:nvPicPr>
                  <pic:blipFill>
                    <a:blip r:embed="rId8"/>
                    <a:srcRect/>
                    <a:stretch>
                      <a:fillRect/>
                    </a:stretch>
                  </pic:blipFill>
                  <pic:spPr>
                    <a:xfrm>
                      <a:off x="0" y="0"/>
                      <a:ext cx="3349625" cy="307975"/>
                    </a:xfrm>
                    <a:prstGeom prst="rect">
                      <a:avLst/>
                    </a:prstGeom>
                    <a:ln/>
                  </pic:spPr>
                </pic:pic>
              </a:graphicData>
            </a:graphic>
          </wp:anchor>
        </w:drawing>
      </w:r>
    </w:p>
    <w:p w:rsidR="00AD0368" w:rsidRDefault="00D602EF" w:rsidP="009A58D9">
      <w:pPr>
        <w:pStyle w:val="Title"/>
      </w:pPr>
      <w:bookmarkStart w:id="0" w:name="_heading=h.gjdgxs" w:colFirst="0" w:colLast="0"/>
      <w:bookmarkEnd w:id="0"/>
      <w:r>
        <w:t xml:space="preserve">Title I, Part </w:t>
      </w:r>
      <w:proofErr w:type="spellStart"/>
      <w:r>
        <w:t>A</w:t>
      </w:r>
      <w:proofErr w:type="spellEnd"/>
      <w:r>
        <w:t xml:space="preserve"> Executive Summary</w:t>
      </w:r>
    </w:p>
    <w:p w:rsidR="00AD0368" w:rsidRDefault="00D602EF" w:rsidP="009A58D9">
      <w:pPr>
        <w:pStyle w:val="Subtitle"/>
        <w:rPr>
          <w:b/>
        </w:rPr>
      </w:pPr>
      <w:r>
        <w:t>Improving Basic Programs Operated by Local Education Agencies</w:t>
      </w:r>
    </w:p>
    <w:p w:rsidR="00AD0368" w:rsidRDefault="00D602EF">
      <w:pPr>
        <w:pStyle w:val="Heading1"/>
        <w:rPr>
          <w:b w:val="0"/>
          <w:color w:val="767171"/>
        </w:rPr>
      </w:pPr>
      <w:r>
        <w:t>Introduction</w:t>
      </w:r>
    </w:p>
    <w:p w:rsidR="00AD0368" w:rsidRPr="00E830DF" w:rsidRDefault="00D602EF" w:rsidP="00E830DF">
      <w:proofErr w:type="gramStart"/>
      <w:r w:rsidRPr="00E830DF">
        <w:t>The Every</w:t>
      </w:r>
      <w:proofErr w:type="gramEnd"/>
      <w:r w:rsidRPr="00E830DF">
        <w:t xml:space="preserve"> Student Succeeds Act of 2015 reauthorized the Elementary and Secondary Education Act of 1965’s (ESEA) Title I, Part A (Title IA) program. The purpose of the federal Title IA program is to provide all children an opportunity to receive a fair, equitable, and high-quality education and close educational achievement gaps. Title IA provides financial assistance to local educational agencies (LEAs</w:t>
      </w:r>
      <w:r w:rsidR="00E830DF">
        <w:t xml:space="preserve">) </w:t>
      </w:r>
      <w:r w:rsidRPr="00E830DF">
        <w:t xml:space="preserve">and schools with high numbers or high percentages of children from low-income families to help ensure all children meet challenging </w:t>
      </w:r>
      <w:r w:rsidR="00E830DF">
        <w:t>S</w:t>
      </w:r>
      <w:r w:rsidRPr="00E830DF">
        <w:t>tate academic standards.</w:t>
      </w:r>
    </w:p>
    <w:p w:rsidR="00AD0368" w:rsidRDefault="00E830DF">
      <w:pPr>
        <w:pStyle w:val="Heading1"/>
      </w:pPr>
      <w:r>
        <w:t>Subg</w:t>
      </w:r>
      <w:r w:rsidR="00D602EF">
        <w:t>rant Requirements</w:t>
      </w:r>
    </w:p>
    <w:p w:rsidR="00AD0368" w:rsidRDefault="00D602EF">
      <w:r>
        <w:t xml:space="preserve">To receive Title IA funds, </w:t>
      </w:r>
      <w:r w:rsidR="00E830DF">
        <w:t>the</w:t>
      </w:r>
      <w:r>
        <w:t xml:space="preserve"> </w:t>
      </w:r>
      <w:r w:rsidR="00E830DF">
        <w:t>LEA</w:t>
      </w:r>
      <w:r>
        <w:t xml:space="preserve"> must complete a short list of requirements. Such requirements include submitting a</w:t>
      </w:r>
      <w:r w:rsidR="00E830DF">
        <w:t xml:space="preserve"> program</w:t>
      </w:r>
      <w:r>
        <w:t xml:space="preserve"> application to the Iowa Department of Education (Department) in the Consolidated Accountability and Support Application (CASA) each year and submitting quarterly reimbursement claims. For the requirements, please see the </w:t>
      </w:r>
      <w:hyperlink r:id="rId9" w:history="1">
        <w:r w:rsidRPr="007F6730">
          <w:rPr>
            <w:rStyle w:val="Hyperlink"/>
          </w:rPr>
          <w:t>Title IA Guidance</w:t>
        </w:r>
      </w:hyperlink>
      <w:r>
        <w:t xml:space="preserve"> on the </w:t>
      </w:r>
      <w:hyperlink r:id="rId10">
        <w:r>
          <w:rPr>
            <w:color w:val="0563C1"/>
            <w:u w:val="single"/>
          </w:rPr>
          <w:t>ESSA Guidance and Allocations webpage</w:t>
        </w:r>
      </w:hyperlink>
      <w:r>
        <w:t>.</w:t>
      </w:r>
    </w:p>
    <w:p w:rsidR="00AD0368" w:rsidRDefault="00D602EF">
      <w:r>
        <w:t xml:space="preserve">NOTE: </w:t>
      </w:r>
      <w:r w:rsidR="00E830DF">
        <w:t>LEA</w:t>
      </w:r>
      <w:r>
        <w:t xml:space="preserve">s direct the Title IA funds they receive to public schools with the highest percentages of children from low-income families. Title IA is designed to help students served by the program to achieve proficiency on challenging </w:t>
      </w:r>
      <w:r w:rsidR="007F6730">
        <w:t>St</w:t>
      </w:r>
      <w:r>
        <w:t>ate academic achievement standards. Only eligible public schools may receive these funds (ESEA § 1113).</w:t>
      </w:r>
    </w:p>
    <w:p w:rsidR="00AD0368" w:rsidRDefault="00D602EF">
      <w:pPr>
        <w:pStyle w:val="Heading1"/>
      </w:pPr>
      <w:r>
        <w:t>Allowable Activities</w:t>
      </w:r>
    </w:p>
    <w:p w:rsidR="00AD0368" w:rsidRDefault="00D602EF">
      <w:r>
        <w:t>Schools that are eligible and receive Title IA funds must design and implement programs to support eligible Title IA students through a specific service delivery model</w:t>
      </w:r>
      <w:r w:rsidR="007F6730">
        <w:t>.</w:t>
      </w:r>
    </w:p>
    <w:p w:rsidR="00AD0368" w:rsidRDefault="00D602EF">
      <w:pPr>
        <w:pStyle w:val="Heading2"/>
      </w:pPr>
      <w:r>
        <w:t>Service Delivery Models</w:t>
      </w:r>
    </w:p>
    <w:p w:rsidR="00AD0368" w:rsidRDefault="00D602EF">
      <w:r>
        <w:t>There are two service delivery models that a Title IA school may use: Targeted Assistance and Schoolwide Programs. Both schoolwide and targeted assistance programs must use evidence-based strategies to improve student achievement and implement parental and family engagement activities.</w:t>
      </w:r>
    </w:p>
    <w:p w:rsidR="00AD0368" w:rsidRDefault="00D602EF">
      <w:pPr>
        <w:pStyle w:val="Heading3"/>
      </w:pPr>
      <w:r>
        <w:t>Targeted Assistance Programs</w:t>
      </w:r>
    </w:p>
    <w:p w:rsidR="00AD0368" w:rsidRDefault="00D602EF">
      <w:r>
        <w:t>Title IA schools with less than the 40% schoolwide threshold or that choose not to operate a schoolwide program offer a "targeted assistance program," in which the school identifies students who are failing, or most at</w:t>
      </w:r>
      <w:r w:rsidR="007F6730">
        <w:t>-</w:t>
      </w:r>
      <w:r>
        <w:t xml:space="preserve">risk of failing, to meet the </w:t>
      </w:r>
      <w:r w:rsidR="007F6730">
        <w:t>S</w:t>
      </w:r>
      <w:r>
        <w:t xml:space="preserve">tate's challenging academic achievement standards. Targeted assistance schools design, in consultation with parents and school and </w:t>
      </w:r>
      <w:r w:rsidR="00E830DF">
        <w:t>LEA</w:t>
      </w:r>
      <w:r>
        <w:t xml:space="preserve"> staff, an instructional program to meet the needs of those students.</w:t>
      </w:r>
    </w:p>
    <w:p w:rsidR="00AD0368" w:rsidRDefault="00D602EF">
      <w:pPr>
        <w:pStyle w:val="Heading3"/>
      </w:pPr>
      <w:r>
        <w:t>Schoolwide Programs</w:t>
      </w:r>
    </w:p>
    <w:p w:rsidR="00AD0368" w:rsidRDefault="00D602EF">
      <w:r>
        <w:t xml:space="preserve">Title IA schools in which children from low-income families make up at least 40% of enrollment may use Title IA funds (along with other </w:t>
      </w:r>
      <w:r w:rsidR="007F6730">
        <w:t>F</w:t>
      </w:r>
      <w:r>
        <w:t xml:space="preserve">ederal, </w:t>
      </w:r>
      <w:r w:rsidR="007F6730">
        <w:t>S</w:t>
      </w:r>
      <w:r>
        <w:t>tate, and local funds) to operate a "schoolwide program" to upgrade the instructional program for the whole school and serve all children in the school.</w:t>
      </w:r>
    </w:p>
    <w:p w:rsidR="007F6730" w:rsidRDefault="007F6730">
      <w:pPr>
        <w:rPr>
          <w:rFonts w:eastAsiaTheme="majorEastAsia" w:cstheme="majorBidi"/>
          <w:color w:val="2A6357"/>
          <w:sz w:val="28"/>
          <w:szCs w:val="24"/>
        </w:rPr>
      </w:pPr>
      <w:r>
        <w:br w:type="page"/>
      </w:r>
    </w:p>
    <w:p w:rsidR="00AD0368" w:rsidRDefault="00D602EF">
      <w:pPr>
        <w:pStyle w:val="Heading2"/>
      </w:pPr>
      <w:r>
        <w:lastRenderedPageBreak/>
        <w:t>Supplement Not Supplant</w:t>
      </w:r>
    </w:p>
    <w:p w:rsidR="00AD0368" w:rsidRDefault="00E830DF">
      <w:r>
        <w:t>LEA</w:t>
      </w:r>
      <w:r w:rsidR="00D602EF">
        <w:t xml:space="preserve">s and schools must use Title IA funds to only supplement and not supplant their </w:t>
      </w:r>
      <w:r w:rsidR="007F6730">
        <w:t>S</w:t>
      </w:r>
      <w:r w:rsidR="00D602EF">
        <w:t xml:space="preserve">tate, local, and </w:t>
      </w:r>
      <w:r w:rsidR="007F6730">
        <w:t>F</w:t>
      </w:r>
      <w:r w:rsidR="00D602EF">
        <w:t>ederal education funds. In general terms, this means that Title I</w:t>
      </w:r>
      <w:r w:rsidR="007F6730">
        <w:t>A</w:t>
      </w:r>
      <w:r w:rsidR="00D602EF">
        <w:t xml:space="preserve"> funds should add to (supplement) and not replace (supplant) </w:t>
      </w:r>
      <w:r w:rsidR="007F6730">
        <w:t>S</w:t>
      </w:r>
      <w:r w:rsidR="00D602EF">
        <w:t>tate, local</w:t>
      </w:r>
      <w:r w:rsidR="007F6730">
        <w:t>,</w:t>
      </w:r>
      <w:r w:rsidR="00D602EF">
        <w:t xml:space="preserve"> and </w:t>
      </w:r>
      <w:r w:rsidR="007F6730">
        <w:t>F</w:t>
      </w:r>
      <w:r w:rsidR="00D602EF">
        <w:t xml:space="preserve">ederal funds. ESSA’s method for testing compliance differs from prior law. </w:t>
      </w:r>
      <w:r>
        <w:t>LEA</w:t>
      </w:r>
      <w:r w:rsidR="00D602EF">
        <w:t xml:space="preserve">s must demonstrate the methodology they use to allocate </w:t>
      </w:r>
      <w:r w:rsidR="00A036D6">
        <w:t>S</w:t>
      </w:r>
      <w:r w:rsidR="00D602EF">
        <w:t xml:space="preserve">tate, local, and </w:t>
      </w:r>
      <w:r w:rsidR="00A036D6">
        <w:t>F</w:t>
      </w:r>
      <w:r w:rsidR="00D602EF">
        <w:t xml:space="preserve">ederal funds to schools they provide to each Title IA school with all of the </w:t>
      </w:r>
      <w:r w:rsidR="00A036D6">
        <w:t>S</w:t>
      </w:r>
      <w:r w:rsidR="00D602EF">
        <w:t xml:space="preserve">tate, local, and </w:t>
      </w:r>
      <w:r w:rsidR="00A036D6">
        <w:t>F</w:t>
      </w:r>
      <w:r w:rsidR="00D602EF">
        <w:t>ederal money it would receive if it did not participate in the Title I</w:t>
      </w:r>
      <w:r w:rsidR="00A036D6">
        <w:t>A</w:t>
      </w:r>
      <w:r w:rsidR="00D602EF">
        <w:t xml:space="preserve"> program (ESEA § 1118(b)(2)). This should expand Title I</w:t>
      </w:r>
      <w:r w:rsidR="00A036D6">
        <w:t>A</w:t>
      </w:r>
      <w:r w:rsidR="00D602EF">
        <w:t xml:space="preserve">’s options. </w:t>
      </w:r>
    </w:p>
    <w:p w:rsidR="00AD0368" w:rsidRDefault="00D602EF">
      <w:r>
        <w:t>NOTE: Title I</w:t>
      </w:r>
      <w:r w:rsidR="00A036D6">
        <w:t>A</w:t>
      </w:r>
      <w:r>
        <w:t xml:space="preserve"> expenses must be allowable and must be in alignment with the purpose of the law.</w:t>
      </w:r>
    </w:p>
    <w:p w:rsidR="00AD0368" w:rsidRDefault="00D602EF">
      <w:pPr>
        <w:pStyle w:val="Heading2"/>
      </w:pPr>
      <w:r>
        <w:t>Required Set-Asides</w:t>
      </w:r>
    </w:p>
    <w:p w:rsidR="00AD0368" w:rsidRDefault="00D602EF">
      <w:r>
        <w:t xml:space="preserve">Each </w:t>
      </w:r>
      <w:r w:rsidR="00E830DF">
        <w:t>LEA</w:t>
      </w:r>
      <w:r>
        <w:t xml:space="preserve"> receiving more than $500,000 in Title IA funds must reserve at least 1% of its allocation for parent and family engagement activities.</w:t>
      </w:r>
    </w:p>
    <w:p w:rsidR="00AD0368" w:rsidRDefault="00D602EF">
      <w:r>
        <w:t xml:space="preserve">All </w:t>
      </w:r>
      <w:r w:rsidR="00E830DF">
        <w:t>LEA</w:t>
      </w:r>
      <w:r>
        <w:t xml:space="preserve">s must also set-aside funds whether or not homeless students have been identified. </w:t>
      </w:r>
      <w:r w:rsidR="00E830DF">
        <w:t>LEA</w:t>
      </w:r>
      <w:r>
        <w:t>s must reserve funds as necessary to serve homeless children and youth attending Title IA and non-Title IA schools (ESEA § 1113(c)(3)(A). Services must be reasonable and necessary.</w:t>
      </w:r>
    </w:p>
    <w:p w:rsidR="00AD0368" w:rsidRDefault="00D602EF">
      <w:pPr>
        <w:pStyle w:val="Heading1"/>
      </w:pPr>
      <w:r>
        <w:t>Questions and Additional Guidance</w:t>
      </w:r>
    </w:p>
    <w:p w:rsidR="00AD0368" w:rsidRDefault="00D602EF">
      <w:r>
        <w:t xml:space="preserve">For additional Title IA guidance and resources, see the Title IA heading on the Department’s </w:t>
      </w:r>
      <w:hyperlink r:id="rId11" w:history="1">
        <w:r w:rsidRPr="00404093">
          <w:rPr>
            <w:rStyle w:val="Hyperlink"/>
          </w:rPr>
          <w:t>ESSA Guidance and Allocations page</w:t>
        </w:r>
      </w:hyperlink>
      <w:r>
        <w:t xml:space="preserve"> and review the following documents:</w:t>
      </w:r>
    </w:p>
    <w:p w:rsidR="00AD0368" w:rsidRDefault="000D6568">
      <w:pPr>
        <w:numPr>
          <w:ilvl w:val="0"/>
          <w:numId w:val="1"/>
        </w:numPr>
        <w:pBdr>
          <w:top w:val="nil"/>
          <w:left w:val="nil"/>
          <w:bottom w:val="nil"/>
          <w:right w:val="nil"/>
          <w:between w:val="nil"/>
        </w:pBdr>
        <w:spacing w:after="0"/>
      </w:pPr>
      <w:hyperlink r:id="rId12">
        <w:r w:rsidR="00D602EF">
          <w:rPr>
            <w:color w:val="0563C1"/>
            <w:u w:val="single"/>
          </w:rPr>
          <w:t>Public Law 114-95</w:t>
        </w:r>
      </w:hyperlink>
      <w:r w:rsidR="00D602EF">
        <w:rPr>
          <w:color w:val="404040"/>
        </w:rPr>
        <w:t xml:space="preserve"> </w:t>
      </w:r>
    </w:p>
    <w:p w:rsidR="00AD0368" w:rsidRDefault="000D6568">
      <w:pPr>
        <w:numPr>
          <w:ilvl w:val="0"/>
          <w:numId w:val="1"/>
        </w:numPr>
        <w:pBdr>
          <w:top w:val="nil"/>
          <w:left w:val="nil"/>
          <w:bottom w:val="nil"/>
          <w:right w:val="nil"/>
          <w:between w:val="nil"/>
        </w:pBdr>
        <w:spacing w:after="0"/>
      </w:pPr>
      <w:hyperlink r:id="rId13">
        <w:r w:rsidR="00D602EF">
          <w:rPr>
            <w:color w:val="0563C1"/>
            <w:u w:val="single"/>
          </w:rPr>
          <w:t>Iowa's ESSA Plan</w:t>
        </w:r>
      </w:hyperlink>
      <w:r w:rsidR="00D602EF">
        <w:rPr>
          <w:color w:val="404040"/>
        </w:rPr>
        <w:t xml:space="preserve"> (approved May 2018)</w:t>
      </w:r>
    </w:p>
    <w:p w:rsidR="00AD0368" w:rsidRDefault="000D6568">
      <w:pPr>
        <w:numPr>
          <w:ilvl w:val="0"/>
          <w:numId w:val="1"/>
        </w:numPr>
        <w:pBdr>
          <w:top w:val="nil"/>
          <w:left w:val="nil"/>
          <w:bottom w:val="nil"/>
          <w:right w:val="nil"/>
          <w:between w:val="nil"/>
        </w:pBdr>
        <w:spacing w:after="0"/>
      </w:pPr>
      <w:hyperlink r:id="rId14">
        <w:r w:rsidR="00D602EF">
          <w:rPr>
            <w:color w:val="0563C1"/>
            <w:u w:val="single"/>
          </w:rPr>
          <w:t>ESSA Non-Regulatory Guidance Fiscal and Equitable Services</w:t>
        </w:r>
      </w:hyperlink>
      <w:r w:rsidR="00D602EF">
        <w:rPr>
          <w:color w:val="404040"/>
        </w:rPr>
        <w:t xml:space="preserve"> (May, 17, 2023)</w:t>
      </w:r>
    </w:p>
    <w:p w:rsidR="00AD0368" w:rsidRDefault="000D6568">
      <w:pPr>
        <w:numPr>
          <w:ilvl w:val="0"/>
          <w:numId w:val="1"/>
        </w:numPr>
        <w:pBdr>
          <w:top w:val="nil"/>
          <w:left w:val="nil"/>
          <w:bottom w:val="nil"/>
          <w:right w:val="nil"/>
          <w:between w:val="nil"/>
        </w:pBdr>
        <w:spacing w:after="0"/>
      </w:pPr>
      <w:hyperlink r:id="rId15">
        <w:r w:rsidR="00D602EF">
          <w:rPr>
            <w:color w:val="0563C1"/>
            <w:u w:val="single"/>
          </w:rPr>
          <w:t>Office of Management and Budget Uniform Grants Guidance</w:t>
        </w:r>
      </w:hyperlink>
    </w:p>
    <w:p w:rsidR="00AD0368" w:rsidRDefault="000D6568">
      <w:pPr>
        <w:numPr>
          <w:ilvl w:val="0"/>
          <w:numId w:val="1"/>
        </w:numPr>
        <w:pBdr>
          <w:top w:val="nil"/>
          <w:left w:val="nil"/>
          <w:bottom w:val="nil"/>
          <w:right w:val="nil"/>
          <w:between w:val="nil"/>
        </w:pBdr>
        <w:spacing w:after="0"/>
      </w:pPr>
      <w:hyperlink r:id="rId16">
        <w:r w:rsidR="00D602EF">
          <w:rPr>
            <w:color w:val="0563C1"/>
            <w:u w:val="single"/>
          </w:rPr>
          <w:t>Serving Homeless Students under Title I, Part A</w:t>
        </w:r>
      </w:hyperlink>
      <w:r w:rsidR="00D602EF">
        <w:rPr>
          <w:color w:val="404040"/>
        </w:rPr>
        <w:t xml:space="preserve"> </w:t>
      </w:r>
    </w:p>
    <w:p w:rsidR="00AD0368" w:rsidRDefault="000D6568">
      <w:pPr>
        <w:numPr>
          <w:ilvl w:val="0"/>
          <w:numId w:val="1"/>
        </w:numPr>
        <w:pBdr>
          <w:top w:val="nil"/>
          <w:left w:val="nil"/>
          <w:bottom w:val="nil"/>
          <w:right w:val="nil"/>
          <w:between w:val="nil"/>
        </w:pBdr>
        <w:spacing w:after="0"/>
      </w:pPr>
      <w:hyperlink r:id="rId17">
        <w:r w:rsidR="00D602EF">
          <w:rPr>
            <w:color w:val="0563C1"/>
            <w:u w:val="single"/>
          </w:rPr>
          <w:t>Letter regarding Title I, Part A reservation to serve homeless</w:t>
        </w:r>
      </w:hyperlink>
      <w:r w:rsidR="00D602EF">
        <w:rPr>
          <w:color w:val="404040"/>
        </w:rPr>
        <w:t xml:space="preserve"> students (July 30, 2018)</w:t>
      </w:r>
    </w:p>
    <w:p w:rsidR="00AD0368" w:rsidRDefault="000D6568" w:rsidP="00E830DF">
      <w:pPr>
        <w:numPr>
          <w:ilvl w:val="0"/>
          <w:numId w:val="1"/>
        </w:numPr>
        <w:pBdr>
          <w:top w:val="nil"/>
          <w:left w:val="nil"/>
          <w:bottom w:val="nil"/>
          <w:right w:val="nil"/>
          <w:between w:val="nil"/>
        </w:pBdr>
      </w:pPr>
      <w:hyperlink r:id="rId18">
        <w:r w:rsidR="00D602EF">
          <w:rPr>
            <w:color w:val="0563C1"/>
            <w:u w:val="single"/>
          </w:rPr>
          <w:t>Non-Regulatory Guidance Education for Homeless Children and Youths Program</w:t>
        </w:r>
      </w:hyperlink>
      <w:r w:rsidR="00D602EF">
        <w:rPr>
          <w:color w:val="404040"/>
        </w:rPr>
        <w:t xml:space="preserve"> - Updated August 2018</w:t>
      </w:r>
    </w:p>
    <w:sectPr w:rsidR="00AD0368">
      <w:footerReference w:type="default" r:id="rId19"/>
      <w:pgSz w:w="12240" w:h="15840"/>
      <w:pgMar w:top="990" w:right="720" w:bottom="900" w:left="720" w:header="630" w:footer="5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568" w:rsidRDefault="000D6568">
      <w:pPr>
        <w:spacing w:after="0"/>
      </w:pPr>
      <w:r>
        <w:separator/>
      </w:r>
    </w:p>
  </w:endnote>
  <w:endnote w:type="continuationSeparator" w:id="0">
    <w:p w:rsidR="000D6568" w:rsidRDefault="000D65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368" w:rsidRDefault="00D602EF">
    <w:pPr>
      <w:pBdr>
        <w:top w:val="nil"/>
        <w:left w:val="nil"/>
        <w:bottom w:val="nil"/>
        <w:right w:val="nil"/>
        <w:between w:val="nil"/>
      </w:pBdr>
      <w:tabs>
        <w:tab w:val="center" w:pos="4680"/>
        <w:tab w:val="right" w:pos="9360"/>
        <w:tab w:val="center" w:pos="630"/>
      </w:tabs>
      <w:spacing w:after="0"/>
      <w:ind w:left="0"/>
      <w:rPr>
        <w:i/>
        <w:color w:val="222222"/>
        <w:sz w:val="16"/>
        <w:szCs w:val="16"/>
        <w:highlight w:val="white"/>
      </w:rPr>
    </w:pPr>
    <w:r>
      <w:rPr>
        <w:i/>
        <w:color w:val="222222"/>
        <w:sz w:val="16"/>
        <w:szCs w:val="16"/>
        <w:highlight w:val="white"/>
      </w:rPr>
      <w:t>Iowa Department of Education guidance should be viewed as advisory unless it is specifically authorized by state statute, according to Iowa Code section 256.9A. This does not apply to administrative rules, declaratory orders, or materials required by federal law or courts.</w:t>
    </w:r>
    <w:bookmarkStart w:id="1" w:name="_GoBack"/>
  </w:p>
  <w:p w:rsidR="00AD0368" w:rsidRDefault="00D602EF">
    <w:pPr>
      <w:pBdr>
        <w:top w:val="nil"/>
        <w:left w:val="nil"/>
        <w:bottom w:val="nil"/>
        <w:right w:val="nil"/>
        <w:between w:val="nil"/>
      </w:pBdr>
      <w:tabs>
        <w:tab w:val="center" w:pos="4680"/>
        <w:tab w:val="right" w:pos="9360"/>
        <w:tab w:val="center" w:pos="630"/>
      </w:tabs>
      <w:spacing w:after="0"/>
      <w:ind w:left="0"/>
      <w:rPr>
        <w:i/>
        <w:color w:val="222222"/>
        <w:sz w:val="16"/>
        <w:szCs w:val="16"/>
        <w:highlight w:val="white"/>
      </w:rPr>
    </w:pPr>
    <w:r>
      <w:rPr>
        <w:i/>
        <w:color w:val="222222"/>
        <w:sz w:val="16"/>
        <w:szCs w:val="16"/>
        <w:highlight w:val="white"/>
      </w:rPr>
      <w:tab/>
    </w:r>
    <w:r>
      <w:rPr>
        <w:color w:val="404040"/>
        <w:sz w:val="16"/>
        <w:szCs w:val="16"/>
      </w:rPr>
      <w:tab/>
    </w:r>
    <w:r>
      <w:rPr>
        <w:color w:val="404040"/>
        <w:sz w:val="16"/>
        <w:szCs w:val="16"/>
      </w:rPr>
      <w:tab/>
    </w:r>
    <w:bookmarkEnd w:id="1"/>
    <w:r>
      <w:rPr>
        <w:color w:val="404040"/>
        <w:sz w:val="16"/>
        <w:szCs w:val="16"/>
      </w:rPr>
      <w:t xml:space="preserve">Page | </w:t>
    </w:r>
    <w:r>
      <w:rPr>
        <w:color w:val="404040"/>
        <w:sz w:val="16"/>
        <w:szCs w:val="16"/>
      </w:rPr>
      <w:fldChar w:fldCharType="begin"/>
    </w:r>
    <w:r>
      <w:rPr>
        <w:color w:val="404040"/>
        <w:sz w:val="16"/>
        <w:szCs w:val="16"/>
      </w:rPr>
      <w:instrText>PAGE</w:instrText>
    </w:r>
    <w:r>
      <w:rPr>
        <w:color w:val="404040"/>
        <w:sz w:val="16"/>
        <w:szCs w:val="16"/>
      </w:rPr>
      <w:fldChar w:fldCharType="separate"/>
    </w:r>
    <w:r w:rsidR="00E830DF">
      <w:rPr>
        <w:noProof/>
        <w:color w:val="404040"/>
        <w:sz w:val="16"/>
        <w:szCs w:val="16"/>
      </w:rPr>
      <w:t>1</w:t>
    </w:r>
    <w:r>
      <w:rPr>
        <w:color w:val="40404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568" w:rsidRDefault="000D6568">
      <w:pPr>
        <w:spacing w:after="0"/>
      </w:pPr>
      <w:r>
        <w:separator/>
      </w:r>
    </w:p>
  </w:footnote>
  <w:footnote w:type="continuationSeparator" w:id="0">
    <w:p w:rsidR="000D6568" w:rsidRDefault="000D65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0780C"/>
    <w:multiLevelType w:val="multilevel"/>
    <w:tmpl w:val="8DC8B0C6"/>
    <w:lvl w:ilvl="0">
      <w:start w:val="1"/>
      <w:numFmt w:val="bullet"/>
      <w:lvlText w:val="●"/>
      <w:lvlJc w:val="left"/>
      <w:pPr>
        <w:ind w:left="893" w:hanging="360"/>
      </w:pPr>
      <w:rPr>
        <w:rFonts w:ascii="Noto Sans Symbols" w:eastAsia="Noto Sans Symbols" w:hAnsi="Noto Sans Symbols" w:cs="Noto Sans Symbols"/>
      </w:rPr>
    </w:lvl>
    <w:lvl w:ilvl="1">
      <w:start w:val="1"/>
      <w:numFmt w:val="bullet"/>
      <w:lvlText w:val="o"/>
      <w:lvlJc w:val="left"/>
      <w:pPr>
        <w:ind w:left="1613" w:hanging="360"/>
      </w:pPr>
      <w:rPr>
        <w:rFonts w:ascii="Courier New" w:eastAsia="Courier New" w:hAnsi="Courier New" w:cs="Courier New"/>
      </w:rPr>
    </w:lvl>
    <w:lvl w:ilvl="2">
      <w:start w:val="1"/>
      <w:numFmt w:val="bullet"/>
      <w:lvlText w:val="▪"/>
      <w:lvlJc w:val="left"/>
      <w:pPr>
        <w:ind w:left="2333" w:hanging="360"/>
      </w:pPr>
      <w:rPr>
        <w:rFonts w:ascii="Noto Sans Symbols" w:eastAsia="Noto Sans Symbols" w:hAnsi="Noto Sans Symbols" w:cs="Noto Sans Symbols"/>
      </w:rPr>
    </w:lvl>
    <w:lvl w:ilvl="3">
      <w:start w:val="1"/>
      <w:numFmt w:val="bullet"/>
      <w:lvlText w:val="●"/>
      <w:lvlJc w:val="left"/>
      <w:pPr>
        <w:ind w:left="3053" w:hanging="360"/>
      </w:pPr>
      <w:rPr>
        <w:rFonts w:ascii="Noto Sans Symbols" w:eastAsia="Noto Sans Symbols" w:hAnsi="Noto Sans Symbols" w:cs="Noto Sans Symbols"/>
      </w:rPr>
    </w:lvl>
    <w:lvl w:ilvl="4">
      <w:start w:val="1"/>
      <w:numFmt w:val="bullet"/>
      <w:lvlText w:val="o"/>
      <w:lvlJc w:val="left"/>
      <w:pPr>
        <w:ind w:left="3773" w:hanging="360"/>
      </w:pPr>
      <w:rPr>
        <w:rFonts w:ascii="Courier New" w:eastAsia="Courier New" w:hAnsi="Courier New" w:cs="Courier New"/>
      </w:rPr>
    </w:lvl>
    <w:lvl w:ilvl="5">
      <w:start w:val="1"/>
      <w:numFmt w:val="bullet"/>
      <w:lvlText w:val="▪"/>
      <w:lvlJc w:val="left"/>
      <w:pPr>
        <w:ind w:left="4493" w:hanging="360"/>
      </w:pPr>
      <w:rPr>
        <w:rFonts w:ascii="Noto Sans Symbols" w:eastAsia="Noto Sans Symbols" w:hAnsi="Noto Sans Symbols" w:cs="Noto Sans Symbols"/>
      </w:rPr>
    </w:lvl>
    <w:lvl w:ilvl="6">
      <w:start w:val="1"/>
      <w:numFmt w:val="bullet"/>
      <w:lvlText w:val="●"/>
      <w:lvlJc w:val="left"/>
      <w:pPr>
        <w:ind w:left="5213" w:hanging="360"/>
      </w:pPr>
      <w:rPr>
        <w:rFonts w:ascii="Noto Sans Symbols" w:eastAsia="Noto Sans Symbols" w:hAnsi="Noto Sans Symbols" w:cs="Noto Sans Symbols"/>
      </w:rPr>
    </w:lvl>
    <w:lvl w:ilvl="7">
      <w:start w:val="1"/>
      <w:numFmt w:val="bullet"/>
      <w:lvlText w:val="o"/>
      <w:lvlJc w:val="left"/>
      <w:pPr>
        <w:ind w:left="5933" w:hanging="360"/>
      </w:pPr>
      <w:rPr>
        <w:rFonts w:ascii="Courier New" w:eastAsia="Courier New" w:hAnsi="Courier New" w:cs="Courier New"/>
      </w:rPr>
    </w:lvl>
    <w:lvl w:ilvl="8">
      <w:start w:val="1"/>
      <w:numFmt w:val="bullet"/>
      <w:lvlText w:val="▪"/>
      <w:lvlJc w:val="left"/>
      <w:pPr>
        <w:ind w:left="6653"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368"/>
    <w:rsid w:val="000D6568"/>
    <w:rsid w:val="001B767B"/>
    <w:rsid w:val="00404093"/>
    <w:rsid w:val="00521DCB"/>
    <w:rsid w:val="007F6730"/>
    <w:rsid w:val="009A58D9"/>
    <w:rsid w:val="00A036D6"/>
    <w:rsid w:val="00AD0368"/>
    <w:rsid w:val="00D602EF"/>
    <w:rsid w:val="00E8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C35576-3890-4D9E-88C0-0951C0DE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404040"/>
        <w:sz w:val="22"/>
        <w:szCs w:val="22"/>
        <w:lang w:val="en-US" w:eastAsia="en-US" w:bidi="ar-SA"/>
      </w:rPr>
    </w:rPrDefault>
    <w:pPrDefault>
      <w:pPr>
        <w:spacing w:after="200"/>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5F3"/>
    <w:rPr>
      <w:color w:val="404040" w:themeColor="text1" w:themeTint="BF"/>
    </w:rPr>
  </w:style>
  <w:style w:type="paragraph" w:styleId="Heading1">
    <w:name w:val="heading 1"/>
    <w:next w:val="Normal"/>
    <w:link w:val="Heading1Char"/>
    <w:uiPriority w:val="9"/>
    <w:qFormat/>
    <w:rsid w:val="003975F3"/>
    <w:pPr>
      <w:spacing w:before="240" w:after="80"/>
      <w:outlineLvl w:val="0"/>
    </w:pPr>
    <w:rPr>
      <w:rFonts w:eastAsiaTheme="majorEastAsia" w:cstheme="majorBidi"/>
      <w:b/>
      <w:color w:val="03617A" w:themeColor="accent1"/>
      <w:sz w:val="32"/>
      <w:szCs w:val="24"/>
    </w:rPr>
  </w:style>
  <w:style w:type="paragraph" w:styleId="Heading2">
    <w:name w:val="heading 2"/>
    <w:next w:val="Normal"/>
    <w:link w:val="Heading2Char"/>
    <w:uiPriority w:val="9"/>
    <w:unhideWhenUsed/>
    <w:qFormat/>
    <w:rsid w:val="003975F3"/>
    <w:pPr>
      <w:spacing w:after="120"/>
      <w:outlineLvl w:val="1"/>
    </w:pPr>
    <w:rPr>
      <w:rFonts w:eastAsiaTheme="majorEastAsia" w:cstheme="majorBidi"/>
      <w:color w:val="2A6357"/>
      <w:sz w:val="28"/>
      <w:szCs w:val="24"/>
    </w:rPr>
  </w:style>
  <w:style w:type="paragraph" w:styleId="Heading3">
    <w:name w:val="heading 3"/>
    <w:next w:val="Normal"/>
    <w:link w:val="Heading3Char"/>
    <w:uiPriority w:val="9"/>
    <w:unhideWhenUsed/>
    <w:qFormat/>
    <w:rsid w:val="00756F77"/>
    <w:pPr>
      <w:spacing w:after="120"/>
      <w:outlineLvl w:val="2"/>
    </w:pPr>
    <w:rPr>
      <w:rFonts w:cstheme="minorHAnsi"/>
      <w:b/>
      <w:color w:val="000000" w:themeColor="text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A52D12"/>
    <w:pPr>
      <w:spacing w:before="240" w:after="120"/>
      <w:jc w:val="center"/>
    </w:pPr>
    <w:rPr>
      <w:rFonts w:eastAsiaTheme="majorEastAsia" w:cstheme="majorBidi"/>
      <w:b/>
      <w:color w:val="002A4B"/>
      <w:kern w:val="28"/>
      <w:sz w:val="36"/>
      <w:szCs w:val="32"/>
    </w:rPr>
  </w:style>
  <w:style w:type="paragraph" w:styleId="ListParagraph">
    <w:name w:val="List Paragraph"/>
    <w:basedOn w:val="Normal"/>
    <w:uiPriority w:val="34"/>
    <w:rsid w:val="00956D18"/>
    <w:pPr>
      <w:ind w:left="720"/>
      <w:contextualSpacing/>
    </w:pPr>
  </w:style>
  <w:style w:type="paragraph" w:styleId="Header">
    <w:name w:val="header"/>
    <w:basedOn w:val="Normal"/>
    <w:link w:val="HeaderChar"/>
    <w:uiPriority w:val="99"/>
    <w:unhideWhenUsed/>
    <w:rsid w:val="00B8195D"/>
    <w:pPr>
      <w:tabs>
        <w:tab w:val="center" w:pos="4680"/>
        <w:tab w:val="right" w:pos="9360"/>
      </w:tabs>
      <w:spacing w:after="0"/>
    </w:pPr>
  </w:style>
  <w:style w:type="character" w:customStyle="1" w:styleId="HeaderChar">
    <w:name w:val="Header Char"/>
    <w:basedOn w:val="DefaultParagraphFont"/>
    <w:link w:val="Header"/>
    <w:uiPriority w:val="99"/>
    <w:rsid w:val="00B8195D"/>
  </w:style>
  <w:style w:type="paragraph" w:styleId="Footer">
    <w:name w:val="footer"/>
    <w:basedOn w:val="Normal"/>
    <w:link w:val="FooterChar"/>
    <w:uiPriority w:val="99"/>
    <w:unhideWhenUsed/>
    <w:rsid w:val="00B8195D"/>
    <w:pPr>
      <w:tabs>
        <w:tab w:val="center" w:pos="4680"/>
        <w:tab w:val="right" w:pos="9360"/>
      </w:tabs>
      <w:spacing w:after="0"/>
    </w:pPr>
  </w:style>
  <w:style w:type="character" w:customStyle="1" w:styleId="FooterChar">
    <w:name w:val="Footer Char"/>
    <w:basedOn w:val="DefaultParagraphFont"/>
    <w:link w:val="Footer"/>
    <w:uiPriority w:val="99"/>
    <w:rsid w:val="00B8195D"/>
  </w:style>
  <w:style w:type="paragraph" w:styleId="BalloonText">
    <w:name w:val="Balloon Text"/>
    <w:basedOn w:val="Normal"/>
    <w:link w:val="BalloonTextChar"/>
    <w:uiPriority w:val="99"/>
    <w:semiHidden/>
    <w:unhideWhenUsed/>
    <w:rsid w:val="005403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37B"/>
    <w:rPr>
      <w:rFonts w:ascii="Tahoma" w:hAnsi="Tahoma" w:cs="Tahoma"/>
      <w:sz w:val="16"/>
      <w:szCs w:val="16"/>
    </w:rPr>
  </w:style>
  <w:style w:type="paragraph" w:styleId="BodyTextIndent">
    <w:name w:val="Body Text Indent"/>
    <w:basedOn w:val="Normal"/>
    <w:next w:val="Normal"/>
    <w:link w:val="BodyTextIndentChar"/>
    <w:autoRedefine/>
    <w:rsid w:val="009522A1"/>
    <w:pPr>
      <w:spacing w:before="360" w:after="120"/>
      <w:ind w:left="720" w:hanging="360"/>
      <w:jc w:val="both"/>
    </w:pPr>
    <w:rPr>
      <w:rFonts w:eastAsia="Times New Roman"/>
      <w:b/>
      <w:bCs/>
      <w:color w:val="003366"/>
    </w:rPr>
  </w:style>
  <w:style w:type="character" w:customStyle="1" w:styleId="BodyTextIndentChar">
    <w:name w:val="Body Text Indent Char"/>
    <w:basedOn w:val="DefaultParagraphFont"/>
    <w:link w:val="BodyTextIndent"/>
    <w:rsid w:val="009522A1"/>
    <w:rPr>
      <w:rFonts w:ascii="Arial" w:eastAsia="Times New Roman" w:hAnsi="Arial" w:cs="Arial"/>
      <w:b/>
      <w:bCs/>
      <w:color w:val="003366"/>
    </w:rPr>
  </w:style>
  <w:style w:type="table" w:customStyle="1" w:styleId="LightShading1">
    <w:name w:val="Light Shading1"/>
    <w:basedOn w:val="TableNormal"/>
    <w:uiPriority w:val="60"/>
    <w:rsid w:val="00CD0B6D"/>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E24205"/>
    <w:pPr>
      <w:spacing w:after="0"/>
    </w:pPr>
    <w:rPr>
      <w:sz w:val="20"/>
      <w:szCs w:val="20"/>
    </w:rPr>
  </w:style>
  <w:style w:type="character" w:customStyle="1" w:styleId="FootnoteTextChar">
    <w:name w:val="Footnote Text Char"/>
    <w:basedOn w:val="DefaultParagraphFont"/>
    <w:link w:val="FootnoteText"/>
    <w:uiPriority w:val="99"/>
    <w:semiHidden/>
    <w:rsid w:val="00E24205"/>
    <w:rPr>
      <w:sz w:val="20"/>
      <w:szCs w:val="20"/>
    </w:rPr>
  </w:style>
  <w:style w:type="character" w:styleId="FootnoteReference">
    <w:name w:val="footnote reference"/>
    <w:basedOn w:val="DefaultParagraphFont"/>
    <w:uiPriority w:val="99"/>
    <w:semiHidden/>
    <w:unhideWhenUsed/>
    <w:rsid w:val="00E24205"/>
    <w:rPr>
      <w:vertAlign w:val="superscript"/>
    </w:rPr>
  </w:style>
  <w:style w:type="character" w:styleId="Hyperlink">
    <w:name w:val="Hyperlink"/>
    <w:basedOn w:val="DefaultParagraphFont"/>
    <w:uiPriority w:val="99"/>
    <w:unhideWhenUsed/>
    <w:rsid w:val="00717275"/>
    <w:rPr>
      <w:color w:val="0563C1" w:themeColor="hyperlink"/>
      <w:u w:val="single"/>
    </w:rPr>
  </w:style>
  <w:style w:type="character" w:customStyle="1" w:styleId="Heading1Char">
    <w:name w:val="Heading 1 Char"/>
    <w:basedOn w:val="DefaultParagraphFont"/>
    <w:link w:val="Heading1"/>
    <w:uiPriority w:val="9"/>
    <w:rsid w:val="003975F3"/>
    <w:rPr>
      <w:rFonts w:ascii="Arial" w:eastAsiaTheme="majorEastAsia" w:hAnsi="Arial" w:cstheme="majorBidi"/>
      <w:b/>
      <w:color w:val="03617A" w:themeColor="accent1"/>
      <w:sz w:val="32"/>
      <w:szCs w:val="24"/>
    </w:rPr>
  </w:style>
  <w:style w:type="character" w:customStyle="1" w:styleId="Heading2Char">
    <w:name w:val="Heading 2 Char"/>
    <w:basedOn w:val="DefaultParagraphFont"/>
    <w:link w:val="Heading2"/>
    <w:uiPriority w:val="9"/>
    <w:rsid w:val="003975F3"/>
    <w:rPr>
      <w:rFonts w:ascii="Arial" w:eastAsiaTheme="majorEastAsia" w:hAnsi="Arial" w:cstheme="majorBidi"/>
      <w:color w:val="2A6357"/>
      <w:sz w:val="28"/>
      <w:szCs w:val="24"/>
    </w:rPr>
  </w:style>
  <w:style w:type="character" w:customStyle="1" w:styleId="Heading3Char">
    <w:name w:val="Heading 3 Char"/>
    <w:basedOn w:val="DefaultParagraphFont"/>
    <w:link w:val="Heading3"/>
    <w:uiPriority w:val="9"/>
    <w:rsid w:val="00756F77"/>
    <w:rPr>
      <w:rFonts w:cstheme="minorHAnsi"/>
      <w:b/>
      <w:color w:val="000000" w:themeColor="text1"/>
      <w:sz w:val="24"/>
      <w:szCs w:val="24"/>
    </w:rPr>
  </w:style>
  <w:style w:type="character" w:customStyle="1" w:styleId="TitleChar">
    <w:name w:val="Title Char"/>
    <w:basedOn w:val="DefaultParagraphFont"/>
    <w:link w:val="Title"/>
    <w:uiPriority w:val="10"/>
    <w:rsid w:val="00A52D12"/>
    <w:rPr>
      <w:rFonts w:ascii="Arial" w:eastAsiaTheme="majorEastAsia" w:hAnsi="Arial" w:cstheme="majorBidi"/>
      <w:b/>
      <w:color w:val="002A4B"/>
      <w:kern w:val="28"/>
      <w:sz w:val="36"/>
      <w:szCs w:val="32"/>
    </w:rPr>
  </w:style>
  <w:style w:type="paragraph" w:styleId="NoSpacing">
    <w:name w:val="No Spacing"/>
    <w:uiPriority w:val="1"/>
    <w:rsid w:val="00387575"/>
    <w:pPr>
      <w:spacing w:after="0"/>
    </w:pPr>
  </w:style>
  <w:style w:type="paragraph" w:styleId="IntenseQuote">
    <w:name w:val="Intense Quote"/>
    <w:basedOn w:val="Normal"/>
    <w:next w:val="Normal"/>
    <w:link w:val="IntenseQuoteChar"/>
    <w:uiPriority w:val="30"/>
    <w:rsid w:val="00403ACC"/>
    <w:pPr>
      <w:pBdr>
        <w:top w:val="single" w:sz="4" w:space="10" w:color="03617A" w:themeColor="accent1"/>
        <w:bottom w:val="single" w:sz="4" w:space="10" w:color="03617A" w:themeColor="accent1"/>
      </w:pBdr>
      <w:spacing w:before="360" w:after="360"/>
      <w:ind w:left="864" w:right="864"/>
      <w:jc w:val="center"/>
    </w:pPr>
    <w:rPr>
      <w:i/>
      <w:iCs/>
      <w:color w:val="44546A" w:themeColor="text2"/>
    </w:rPr>
  </w:style>
  <w:style w:type="character" w:customStyle="1" w:styleId="IntenseQuoteChar">
    <w:name w:val="Intense Quote Char"/>
    <w:basedOn w:val="DefaultParagraphFont"/>
    <w:link w:val="IntenseQuote"/>
    <w:uiPriority w:val="30"/>
    <w:rsid w:val="00403ACC"/>
    <w:rPr>
      <w:i/>
      <w:iCs/>
      <w:color w:val="44546A" w:themeColor="text2"/>
    </w:rPr>
  </w:style>
  <w:style w:type="paragraph" w:styleId="Subtitle">
    <w:name w:val="Subtitle"/>
    <w:basedOn w:val="Normal"/>
    <w:next w:val="Normal"/>
    <w:link w:val="SubtitleChar"/>
    <w:uiPriority w:val="11"/>
    <w:qFormat/>
    <w:pPr>
      <w:spacing w:before="60" w:after="160"/>
      <w:jc w:val="center"/>
    </w:pPr>
  </w:style>
  <w:style w:type="character" w:customStyle="1" w:styleId="SubtitleChar">
    <w:name w:val="Subtitle Char"/>
    <w:basedOn w:val="DefaultParagraphFont"/>
    <w:link w:val="Subtitle"/>
    <w:uiPriority w:val="11"/>
    <w:rsid w:val="007D1C5D"/>
    <w:rPr>
      <w:rFonts w:eastAsiaTheme="minorEastAsia"/>
      <w:color w:val="404040" w:themeColor="text1" w:themeTint="BF"/>
    </w:rPr>
  </w:style>
  <w:style w:type="paragraph" w:customStyle="1" w:styleId="TableHeading">
    <w:name w:val="Table Heading"/>
    <w:rsid w:val="00735BF7"/>
    <w:pPr>
      <w:spacing w:after="160"/>
    </w:pPr>
    <w:rPr>
      <w:b/>
      <w:color w:val="FFFFFF" w:themeColor="background1"/>
    </w:rPr>
  </w:style>
  <w:style w:type="table" w:customStyle="1" w:styleId="DefaultEducation">
    <w:name w:val="Default Education"/>
    <w:basedOn w:val="TableNormal"/>
    <w:uiPriority w:val="99"/>
    <w:rsid w:val="003975F3"/>
    <w:pPr>
      <w:spacing w:after="0"/>
    </w:pPr>
    <w:rPr>
      <w:color w:val="000000" w:themeColor="text1"/>
      <w:sz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AEAAAA" w:themeColor="background2" w:themeShade="BF"/>
        <w:insideV w:val="single" w:sz="8" w:space="0" w:color="AEAAAA" w:themeColor="background2"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03617A" w:themeFill="accent1"/>
      </w:tcPr>
    </w:tblStylePr>
  </w:style>
  <w:style w:type="table" w:styleId="TableGrid">
    <w:name w:val="Table Grid"/>
    <w:basedOn w:val="TableNormal"/>
    <w:uiPriority w:val="59"/>
    <w:rsid w:val="00E152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1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e.iowa.gov/pk-12/essa" TargetMode="External"/><Relationship Id="rId18" Type="http://schemas.openxmlformats.org/officeDocument/2006/relationships/hyperlink" Target="https://www2.ed.gov/policy/elsec/leg/essa/160240ehcyguidanceupdated082718.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2.ed.gov/documents/essa-act-of-1965.pdf" TargetMode="External"/><Relationship Id="rId17" Type="http://schemas.openxmlformats.org/officeDocument/2006/relationships/hyperlink" Target="https://www2.ed.gov/policy/elsec/leg/essa/letterforessatitleialeahomelesssetaside.pdf" TargetMode="External"/><Relationship Id="rId2" Type="http://schemas.openxmlformats.org/officeDocument/2006/relationships/numbering" Target="numbering.xml"/><Relationship Id="rId16" Type="http://schemas.openxmlformats.org/officeDocument/2006/relationships/hyperlink" Target="https://nche.ed.gov/wp-content/uploads/2018/10/titlei.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e.iowa.gov/pk-12/essa/guidance-allocations" TargetMode="External"/><Relationship Id="rId5" Type="http://schemas.openxmlformats.org/officeDocument/2006/relationships/webSettings" Target="webSettings.xml"/><Relationship Id="rId15" Type="http://schemas.openxmlformats.org/officeDocument/2006/relationships/hyperlink" Target="https://www.govinfo.gov/content/pkg/FR-2013-12-26/pdf/2013-30465.pdf" TargetMode="External"/><Relationship Id="rId10" Type="http://schemas.openxmlformats.org/officeDocument/2006/relationships/hyperlink" Target="https://educate.iowa.gov/pk-12/essa/guidance-allocation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cate.iowa.gov/media/4404/download?inline" TargetMode="External"/><Relationship Id="rId14" Type="http://schemas.openxmlformats.org/officeDocument/2006/relationships/hyperlink" Target="https://oese.ed.gov/files/2023/05/Title-I-ES-guidance-revised-5-2023.pdf" TargetMode="External"/></Relationships>
</file>

<file path=word/theme/theme1.xml><?xml version="1.0" encoding="utf-8"?>
<a:theme xmlns:a="http://schemas.openxmlformats.org/drawingml/2006/main" name="Office Theme">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ZWIAxPMaHuKcCZwFcmnZspqeKg==">CgMxLjAyCGguZ2pkZ3hzOAByITFiX1kxc1l4ZDljWGpsNkhjODNGMC1XM0dCTHBvUGJUSA==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Andersen, Veronica [IDOE]</dc:creator>
  <cp:lastModifiedBy>Foust, Zacchary [IDOE]</cp:lastModifiedBy>
  <cp:revision>6</cp:revision>
  <dcterms:created xsi:type="dcterms:W3CDTF">2024-03-27T19:50:00Z</dcterms:created>
  <dcterms:modified xsi:type="dcterms:W3CDTF">2024-09-12T17:59:00Z</dcterms:modified>
</cp:coreProperties>
</file>