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630"/>
        <w:gridCol w:w="810"/>
        <w:gridCol w:w="720"/>
        <w:gridCol w:w="720"/>
        <w:gridCol w:w="900"/>
        <w:gridCol w:w="810"/>
      </w:tblGrid>
      <w:tr w:rsidR="00CF78D5" w:rsidRPr="00811757" w:rsidTr="00BA523E">
        <w:trPr>
          <w:trHeight w:val="710"/>
          <w:tblHeader/>
        </w:trPr>
        <w:tc>
          <w:tcPr>
            <w:tcW w:w="828" w:type="dxa"/>
            <w:shd w:val="clear" w:color="auto" w:fill="D9D9D9"/>
          </w:tcPr>
          <w:p w:rsidR="00CF78D5" w:rsidRPr="009833A9" w:rsidRDefault="00CF78D5" w:rsidP="00165FF4">
            <w:pPr>
              <w:rPr>
                <w:sz w:val="18"/>
              </w:rPr>
            </w:pPr>
            <w:bookmarkStart w:id="0" w:name="_GoBack"/>
            <w:bookmarkEnd w:id="0"/>
            <w:r>
              <w:rPr>
                <w:sz w:val="18"/>
              </w:rPr>
              <w:t>IQPPS Number</w:t>
            </w:r>
          </w:p>
        </w:tc>
        <w:tc>
          <w:tcPr>
            <w:tcW w:w="9630" w:type="dxa"/>
            <w:shd w:val="clear" w:color="auto" w:fill="D9D9D9"/>
          </w:tcPr>
          <w:p w:rsidR="00CF78D5" w:rsidRDefault="00CF78D5" w:rsidP="0018669B">
            <w:pPr>
              <w:jc w:val="center"/>
              <w:rPr>
                <w:sz w:val="18"/>
              </w:rPr>
            </w:pPr>
            <w:r>
              <w:rPr>
                <w:sz w:val="18"/>
              </w:rPr>
              <w:t>Criteria</w:t>
            </w:r>
          </w:p>
          <w:p w:rsidR="00CF78D5" w:rsidRDefault="00CF78D5" w:rsidP="0018669B">
            <w:pPr>
              <w:jc w:val="center"/>
              <w:rPr>
                <w:sz w:val="18"/>
              </w:rPr>
            </w:pPr>
          </w:p>
          <w:p w:rsidR="00CF78D5" w:rsidRDefault="00CF78D5" w:rsidP="0018669B">
            <w:pPr>
              <w:jc w:val="center"/>
              <w:rPr>
                <w:sz w:val="18"/>
              </w:rPr>
            </w:pPr>
          </w:p>
          <w:p w:rsidR="00CF78D5" w:rsidRPr="009833A9" w:rsidRDefault="00CF78D5" w:rsidP="0018669B">
            <w:pPr>
              <w:jc w:val="center"/>
              <w:rPr>
                <w:sz w:val="18"/>
              </w:rPr>
            </w:pPr>
          </w:p>
        </w:tc>
        <w:tc>
          <w:tcPr>
            <w:tcW w:w="810" w:type="dxa"/>
            <w:shd w:val="clear" w:color="auto" w:fill="D9D9D9"/>
          </w:tcPr>
          <w:p w:rsidR="00CF78D5" w:rsidRPr="00811757" w:rsidRDefault="00CF78D5" w:rsidP="00165FF4"/>
        </w:tc>
        <w:tc>
          <w:tcPr>
            <w:tcW w:w="720" w:type="dxa"/>
            <w:shd w:val="clear" w:color="auto" w:fill="D9D9D9"/>
          </w:tcPr>
          <w:p w:rsidR="00CF78D5" w:rsidRPr="00811757" w:rsidRDefault="00CF78D5" w:rsidP="00165FF4"/>
        </w:tc>
        <w:tc>
          <w:tcPr>
            <w:tcW w:w="720" w:type="dxa"/>
            <w:shd w:val="clear" w:color="auto" w:fill="D9D9D9"/>
          </w:tcPr>
          <w:p w:rsidR="00CF78D5" w:rsidRPr="00811757" w:rsidRDefault="00CF78D5" w:rsidP="00165FF4"/>
        </w:tc>
        <w:tc>
          <w:tcPr>
            <w:tcW w:w="900" w:type="dxa"/>
            <w:shd w:val="clear" w:color="auto" w:fill="D9D9D9"/>
          </w:tcPr>
          <w:p w:rsidR="00CF78D5" w:rsidRPr="00811757" w:rsidRDefault="00CF78D5" w:rsidP="00165FF4"/>
        </w:tc>
        <w:tc>
          <w:tcPr>
            <w:tcW w:w="810" w:type="dxa"/>
            <w:shd w:val="clear" w:color="auto" w:fill="D9D9D9"/>
          </w:tcPr>
          <w:p w:rsidR="00CF78D5" w:rsidRPr="00811757" w:rsidRDefault="00CF78D5" w:rsidP="00165FF4"/>
        </w:tc>
      </w:tr>
      <w:tr w:rsidR="00CF78D5" w:rsidRPr="00811757" w:rsidTr="00745C56">
        <w:trPr>
          <w:trHeight w:val="467"/>
        </w:trPr>
        <w:tc>
          <w:tcPr>
            <w:tcW w:w="828" w:type="dxa"/>
          </w:tcPr>
          <w:p w:rsidR="00CF78D5" w:rsidRPr="009833A9" w:rsidRDefault="00CF78D5" w:rsidP="00CD6B71">
            <w:pPr>
              <w:rPr>
                <w:sz w:val="18"/>
              </w:rPr>
            </w:pPr>
            <w:r w:rsidRPr="009833A9">
              <w:rPr>
                <w:sz w:val="18"/>
              </w:rPr>
              <w:t>3.</w:t>
            </w:r>
            <w:r w:rsidR="00CD6B71">
              <w:rPr>
                <w:sz w:val="18"/>
              </w:rPr>
              <w:t>6</w:t>
            </w:r>
          </w:p>
        </w:tc>
        <w:tc>
          <w:tcPr>
            <w:tcW w:w="9630" w:type="dxa"/>
          </w:tcPr>
          <w:p w:rsidR="008F7081" w:rsidRPr="005B0F56" w:rsidRDefault="008F7081" w:rsidP="008F7081">
            <w:pPr>
              <w:rPr>
                <w:sz w:val="20"/>
                <w:szCs w:val="20"/>
              </w:rPr>
            </w:pPr>
            <w:r w:rsidRPr="005B0F56">
              <w:rPr>
                <w:sz w:val="20"/>
                <w:szCs w:val="20"/>
              </w:rPr>
              <w:t>Teachers address challenging behavior by</w:t>
            </w:r>
          </w:p>
          <w:p w:rsidR="008F7081" w:rsidRPr="005B0F56" w:rsidRDefault="008F7081" w:rsidP="008F7081">
            <w:pPr>
              <w:numPr>
                <w:ilvl w:val="0"/>
                <w:numId w:val="17"/>
              </w:numPr>
              <w:contextualSpacing/>
              <w:rPr>
                <w:sz w:val="20"/>
                <w:szCs w:val="20"/>
              </w:rPr>
            </w:pPr>
            <w:r w:rsidRPr="005B0F56">
              <w:rPr>
                <w:sz w:val="20"/>
                <w:szCs w:val="20"/>
              </w:rPr>
              <w:t>assessing the function of the child’s behavior.</w:t>
            </w:r>
          </w:p>
          <w:p w:rsidR="008F7081" w:rsidRPr="005B0F56" w:rsidRDefault="008F7081" w:rsidP="008F7081">
            <w:pPr>
              <w:numPr>
                <w:ilvl w:val="0"/>
                <w:numId w:val="17"/>
              </w:numPr>
              <w:contextualSpacing/>
              <w:rPr>
                <w:sz w:val="20"/>
                <w:szCs w:val="20"/>
              </w:rPr>
            </w:pPr>
            <w:r w:rsidRPr="005B0F56">
              <w:rPr>
                <w:sz w:val="20"/>
                <w:szCs w:val="20"/>
              </w:rPr>
              <w:t>convening families and professionals to develop individualized plans to address behavior.</w:t>
            </w:r>
          </w:p>
          <w:p w:rsidR="00CF78D5" w:rsidRPr="008F7081" w:rsidRDefault="008F7081" w:rsidP="008F7081">
            <w:pPr>
              <w:numPr>
                <w:ilvl w:val="0"/>
                <w:numId w:val="17"/>
              </w:numPr>
              <w:contextualSpacing/>
              <w:rPr>
                <w:sz w:val="20"/>
                <w:szCs w:val="20"/>
              </w:rPr>
            </w:pPr>
            <w:r w:rsidRPr="005B0F56">
              <w:rPr>
                <w:sz w:val="20"/>
                <w:szCs w:val="20"/>
              </w:rPr>
              <w:t>using positive behavior support strategies.</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710"/>
        </w:trPr>
        <w:tc>
          <w:tcPr>
            <w:tcW w:w="828" w:type="dxa"/>
          </w:tcPr>
          <w:p w:rsidR="00CF78D5" w:rsidRDefault="00CF78D5" w:rsidP="0018669B">
            <w:pPr>
              <w:rPr>
                <w:sz w:val="18"/>
              </w:rPr>
            </w:pPr>
            <w:r w:rsidRPr="009833A9">
              <w:rPr>
                <w:sz w:val="18"/>
              </w:rPr>
              <w:t>4.4</w:t>
            </w:r>
          </w:p>
          <w:p w:rsidR="00CF78D5" w:rsidRPr="009833A9" w:rsidRDefault="00CF78D5" w:rsidP="0018669B">
            <w:pPr>
              <w:rPr>
                <w:sz w:val="18"/>
              </w:rPr>
            </w:pPr>
          </w:p>
        </w:tc>
        <w:tc>
          <w:tcPr>
            <w:tcW w:w="9630" w:type="dxa"/>
          </w:tcPr>
          <w:p w:rsidR="00CF78D5" w:rsidRPr="008F7081" w:rsidRDefault="008F7081" w:rsidP="00165FF4">
            <w:pPr>
              <w:rPr>
                <w:sz w:val="20"/>
                <w:szCs w:val="20"/>
              </w:rPr>
            </w:pPr>
            <w:r w:rsidRPr="005B0F56">
              <w:rPr>
                <w:sz w:val="20"/>
                <w:szCs w:val="20"/>
              </w:rPr>
              <w:t>Norm-referenced and standardized tests are used primarily when seeking information on eligibility for special services or when collecting information for overall program effectiveness. When formal assessments are used, they are combined with informal methods such as observation, checklists, rating scales, and work sampling.</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467"/>
        </w:trPr>
        <w:tc>
          <w:tcPr>
            <w:tcW w:w="828" w:type="dxa"/>
          </w:tcPr>
          <w:p w:rsidR="00CF78D5" w:rsidRPr="009833A9" w:rsidRDefault="00CF78D5" w:rsidP="0018669B">
            <w:pPr>
              <w:rPr>
                <w:sz w:val="18"/>
              </w:rPr>
            </w:pPr>
            <w:r w:rsidRPr="009833A9">
              <w:rPr>
                <w:sz w:val="18"/>
              </w:rPr>
              <w:t>4.5</w:t>
            </w:r>
            <w:r>
              <w:rPr>
                <w:sz w:val="18"/>
              </w:rPr>
              <w:t xml:space="preserve"> </w:t>
            </w:r>
          </w:p>
        </w:tc>
        <w:tc>
          <w:tcPr>
            <w:tcW w:w="9630" w:type="dxa"/>
          </w:tcPr>
          <w:p w:rsidR="00CF78D5" w:rsidRPr="008F7081" w:rsidRDefault="008F7081" w:rsidP="008F7081">
            <w:pPr>
              <w:rPr>
                <w:sz w:val="20"/>
                <w:szCs w:val="20"/>
              </w:rPr>
            </w:pPr>
            <w:r w:rsidRPr="005B0F56">
              <w:rPr>
                <w:sz w:val="20"/>
                <w:szCs w:val="20"/>
              </w:rPr>
              <w:t>Teachers assess the developmental progress of each child across developmental areas, using a variety of instruments and multiple data sources that address the program’s curriculum areas. Staff with diverse expertise and skills collect information across the full range of children’s experiences.</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710"/>
        </w:trPr>
        <w:tc>
          <w:tcPr>
            <w:tcW w:w="828" w:type="dxa"/>
          </w:tcPr>
          <w:p w:rsidR="00CF78D5" w:rsidRPr="009833A9" w:rsidRDefault="00CF78D5" w:rsidP="00CD6B71">
            <w:pPr>
              <w:rPr>
                <w:sz w:val="18"/>
              </w:rPr>
            </w:pPr>
            <w:r w:rsidRPr="009833A9">
              <w:rPr>
                <w:sz w:val="18"/>
              </w:rPr>
              <w:t>4.</w:t>
            </w:r>
            <w:r w:rsidR="00CD6B71">
              <w:rPr>
                <w:sz w:val="18"/>
              </w:rPr>
              <w:t>6</w:t>
            </w:r>
            <w:r>
              <w:rPr>
                <w:sz w:val="18"/>
              </w:rPr>
              <w:t xml:space="preserve"> </w:t>
            </w:r>
          </w:p>
        </w:tc>
        <w:tc>
          <w:tcPr>
            <w:tcW w:w="9630" w:type="dxa"/>
          </w:tcPr>
          <w:p w:rsidR="00CF78D5" w:rsidRPr="008F7081" w:rsidRDefault="008F7081" w:rsidP="008F7081">
            <w:pPr>
              <w:rPr>
                <w:sz w:val="20"/>
                <w:szCs w:val="20"/>
              </w:rPr>
            </w:pPr>
            <w:r w:rsidRPr="005B0F56">
              <w:rPr>
                <w:sz w:val="20"/>
                <w:szCs w:val="20"/>
              </w:rPr>
              <w:t>Teachers or others who know the children and are able to observe their strengths, interests, and needs on an ongoing basis conduct assessments to inform classroom instruction and to make sound decisions about individual and group curriculum content, teaching approaches, and personal interactions.</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BE3BA8">
        <w:trPr>
          <w:trHeight w:val="278"/>
        </w:trPr>
        <w:tc>
          <w:tcPr>
            <w:tcW w:w="828" w:type="dxa"/>
          </w:tcPr>
          <w:p w:rsidR="00CF78D5" w:rsidRPr="009833A9" w:rsidRDefault="00CF78D5" w:rsidP="0018669B">
            <w:pPr>
              <w:rPr>
                <w:sz w:val="18"/>
              </w:rPr>
            </w:pPr>
            <w:r w:rsidRPr="009833A9">
              <w:rPr>
                <w:sz w:val="18"/>
              </w:rPr>
              <w:t>4.8</w:t>
            </w:r>
          </w:p>
          <w:p w:rsidR="00CF78D5" w:rsidRPr="009833A9" w:rsidRDefault="00CF78D5" w:rsidP="0018669B">
            <w:pPr>
              <w:rPr>
                <w:sz w:val="18"/>
              </w:rPr>
            </w:pPr>
          </w:p>
        </w:tc>
        <w:tc>
          <w:tcPr>
            <w:tcW w:w="9630" w:type="dxa"/>
          </w:tcPr>
          <w:p w:rsidR="00CF78D5" w:rsidRPr="008F7081" w:rsidRDefault="008F7081" w:rsidP="008F7081">
            <w:pPr>
              <w:rPr>
                <w:sz w:val="20"/>
                <w:szCs w:val="20"/>
              </w:rPr>
            </w:pPr>
            <w:r w:rsidRPr="005B0F56">
              <w:rPr>
                <w:sz w:val="20"/>
                <w:szCs w:val="20"/>
              </w:rPr>
              <w:t>Teachers and other professionals associated with the program use assessment methods and information to design goals for individual children as well as to guide curriculum planning and monitor progress.</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710"/>
        </w:trPr>
        <w:tc>
          <w:tcPr>
            <w:tcW w:w="828" w:type="dxa"/>
          </w:tcPr>
          <w:p w:rsidR="00A87519" w:rsidRPr="00CD6B71" w:rsidRDefault="00CF78D5" w:rsidP="00165FF4">
            <w:pPr>
              <w:rPr>
                <w:sz w:val="18"/>
              </w:rPr>
            </w:pPr>
            <w:r w:rsidRPr="009833A9">
              <w:rPr>
                <w:sz w:val="18"/>
              </w:rPr>
              <w:t>5.1</w:t>
            </w:r>
          </w:p>
        </w:tc>
        <w:tc>
          <w:tcPr>
            <w:tcW w:w="9630" w:type="dxa"/>
          </w:tcPr>
          <w:p w:rsidR="00A554B4" w:rsidRPr="005B0F56" w:rsidRDefault="00A554B4" w:rsidP="00A554B4">
            <w:pPr>
              <w:spacing w:before="40" w:after="40"/>
              <w:rPr>
                <w:sz w:val="20"/>
                <w:szCs w:val="20"/>
              </w:rPr>
            </w:pPr>
            <w:r w:rsidRPr="005B0F56">
              <w:rPr>
                <w:sz w:val="20"/>
                <w:szCs w:val="20"/>
              </w:rPr>
              <w:t>The program maintains current health records for each child:</w:t>
            </w:r>
          </w:p>
          <w:p w:rsidR="00A554B4" w:rsidRDefault="00A554B4" w:rsidP="00A554B4">
            <w:pPr>
              <w:numPr>
                <w:ilvl w:val="0"/>
                <w:numId w:val="18"/>
              </w:numPr>
              <w:spacing w:before="40" w:after="40"/>
              <w:ind w:left="695" w:hanging="360"/>
              <w:rPr>
                <w:sz w:val="20"/>
                <w:szCs w:val="20"/>
              </w:rPr>
            </w:pPr>
            <w:r>
              <w:rPr>
                <w:sz w:val="20"/>
                <w:szCs w:val="20"/>
              </w:rPr>
              <w:t>The program must follow the requirements for enrollment related to immunizations established by the Iowa Department of Public Health [IAC 641-7].</w:t>
            </w:r>
          </w:p>
          <w:p w:rsidR="00A554B4" w:rsidRDefault="00A554B4" w:rsidP="00A554B4">
            <w:pPr>
              <w:numPr>
                <w:ilvl w:val="0"/>
                <w:numId w:val="18"/>
              </w:numPr>
              <w:spacing w:before="40" w:after="40"/>
              <w:ind w:left="695" w:hanging="360"/>
              <w:rPr>
                <w:sz w:val="20"/>
                <w:szCs w:val="20"/>
              </w:rPr>
            </w:pPr>
            <w:r w:rsidRPr="005B0F56">
              <w:rPr>
                <w:sz w:val="20"/>
                <w:szCs w:val="20"/>
              </w:rPr>
              <w:t xml:space="preserve">When a child is overdue for any routine health services, parents, legal guardians, or both provide evidence of an appointment for those services before the child’s entry into the program and as a condition of remaining enrolled in the program, except for immunization for which parents are using religious exemption. </w:t>
            </w:r>
          </w:p>
          <w:p w:rsidR="00A554B4" w:rsidRPr="005B0F56" w:rsidRDefault="00A554B4" w:rsidP="00A554B4">
            <w:pPr>
              <w:spacing w:before="40" w:after="40"/>
              <w:ind w:left="695"/>
              <w:rPr>
                <w:sz w:val="20"/>
                <w:szCs w:val="20"/>
              </w:rPr>
            </w:pPr>
          </w:p>
          <w:p w:rsidR="00A554B4" w:rsidRPr="005B0F56" w:rsidRDefault="00A554B4" w:rsidP="00A554B4">
            <w:pPr>
              <w:spacing w:before="40" w:after="40"/>
              <w:rPr>
                <w:sz w:val="20"/>
                <w:szCs w:val="20"/>
              </w:rPr>
            </w:pPr>
            <w:r w:rsidRPr="005B0F56">
              <w:rPr>
                <w:sz w:val="20"/>
                <w:szCs w:val="20"/>
              </w:rPr>
              <w:t>Child health records include</w:t>
            </w:r>
            <w:r>
              <w:rPr>
                <w:sz w:val="20"/>
                <w:szCs w:val="20"/>
              </w:rPr>
              <w:t>:</w:t>
            </w:r>
          </w:p>
          <w:p w:rsidR="00A554B4" w:rsidRPr="005B0F56" w:rsidRDefault="00A554B4" w:rsidP="00A554B4">
            <w:pPr>
              <w:numPr>
                <w:ilvl w:val="0"/>
                <w:numId w:val="19"/>
              </w:numPr>
              <w:spacing w:before="40" w:after="40"/>
              <w:ind w:left="695" w:hanging="360"/>
              <w:rPr>
                <w:sz w:val="20"/>
                <w:szCs w:val="20"/>
              </w:rPr>
            </w:pPr>
            <w:r w:rsidRPr="005B0F56">
              <w:rPr>
                <w:sz w:val="20"/>
                <w:szCs w:val="20"/>
              </w:rPr>
              <w:t>Current information about any health insurance coverage required for treatment in an emergency;</w:t>
            </w:r>
          </w:p>
          <w:p w:rsidR="00A554B4" w:rsidRPr="005B0F56" w:rsidRDefault="00A554B4" w:rsidP="00A554B4">
            <w:pPr>
              <w:numPr>
                <w:ilvl w:val="0"/>
                <w:numId w:val="19"/>
              </w:numPr>
              <w:spacing w:before="40" w:after="40"/>
              <w:ind w:left="695" w:hanging="360"/>
              <w:rPr>
                <w:sz w:val="20"/>
                <w:szCs w:val="20"/>
              </w:rPr>
            </w:pPr>
            <w:r w:rsidRPr="005B0F56">
              <w:rPr>
                <w:sz w:val="20"/>
                <w:szCs w:val="20"/>
              </w:rPr>
              <w:t>Results of health examination, showing up-to-date immunizations and screening tests with an indication of normal or abnormal results and any follow-up required for abnormal results;</w:t>
            </w:r>
          </w:p>
          <w:p w:rsidR="00A554B4" w:rsidRPr="005B0F56" w:rsidRDefault="00A554B4" w:rsidP="00A554B4">
            <w:pPr>
              <w:numPr>
                <w:ilvl w:val="0"/>
                <w:numId w:val="19"/>
              </w:numPr>
              <w:spacing w:before="40" w:after="40"/>
              <w:ind w:left="695" w:hanging="360"/>
              <w:rPr>
                <w:sz w:val="20"/>
                <w:szCs w:val="20"/>
              </w:rPr>
            </w:pPr>
            <w:r w:rsidRPr="005B0F56">
              <w:rPr>
                <w:sz w:val="20"/>
                <w:szCs w:val="20"/>
              </w:rPr>
              <w:t>Current emergency contact information for each child, that is kept up to date by a specified method during the year;</w:t>
            </w:r>
          </w:p>
          <w:p w:rsidR="00A554B4" w:rsidRPr="005B0F56" w:rsidRDefault="00A554B4" w:rsidP="00A554B4">
            <w:pPr>
              <w:numPr>
                <w:ilvl w:val="0"/>
                <w:numId w:val="19"/>
              </w:numPr>
              <w:spacing w:before="40" w:after="40"/>
              <w:ind w:left="695" w:hanging="360"/>
              <w:rPr>
                <w:sz w:val="20"/>
                <w:szCs w:val="20"/>
              </w:rPr>
            </w:pPr>
            <w:r w:rsidRPr="005B0F56">
              <w:rPr>
                <w:sz w:val="20"/>
                <w:szCs w:val="20"/>
              </w:rPr>
              <w:t>Names of individuals authorized by the family to have access to health information about the child;</w:t>
            </w:r>
          </w:p>
          <w:p w:rsidR="00A554B4" w:rsidRPr="005B0F56" w:rsidRDefault="00A554B4" w:rsidP="00A554B4">
            <w:pPr>
              <w:numPr>
                <w:ilvl w:val="0"/>
                <w:numId w:val="19"/>
              </w:numPr>
              <w:spacing w:before="40" w:after="40"/>
              <w:ind w:left="695" w:hanging="360"/>
              <w:rPr>
                <w:sz w:val="20"/>
                <w:szCs w:val="20"/>
              </w:rPr>
            </w:pPr>
            <w:r w:rsidRPr="005B0F56">
              <w:rPr>
                <w:sz w:val="20"/>
                <w:szCs w:val="20"/>
              </w:rPr>
              <w:lastRenderedPageBreak/>
              <w:t xml:space="preserve">Instructions for any of the child’s special health needs such as allergies or chronic illness (e.g., asthma, hearing or vision impairments, feeding needs, neuromuscular conditions, urinary or other ongoing health problems, seizures, diabetes); </w:t>
            </w:r>
          </w:p>
          <w:p w:rsidR="00CF78D5" w:rsidRPr="00A554B4" w:rsidRDefault="00A554B4" w:rsidP="00A554B4">
            <w:pPr>
              <w:numPr>
                <w:ilvl w:val="0"/>
                <w:numId w:val="19"/>
              </w:numPr>
              <w:spacing w:before="40" w:after="40"/>
              <w:ind w:left="695" w:hanging="360"/>
              <w:rPr>
                <w:sz w:val="20"/>
                <w:szCs w:val="20"/>
              </w:rPr>
            </w:pPr>
            <w:r>
              <w:rPr>
                <w:sz w:val="20"/>
                <w:szCs w:val="20"/>
              </w:rPr>
              <w:t>The program must follow the requirements for exclusions related to immunizations established by the Iowa Department of Public Health [IAC 641-7.3].</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710"/>
        </w:trPr>
        <w:tc>
          <w:tcPr>
            <w:tcW w:w="828" w:type="dxa"/>
          </w:tcPr>
          <w:p w:rsidR="00CF78D5" w:rsidRPr="009833A9" w:rsidRDefault="00CF78D5" w:rsidP="00165FF4">
            <w:pPr>
              <w:rPr>
                <w:sz w:val="18"/>
              </w:rPr>
            </w:pPr>
            <w:r w:rsidRPr="009833A9">
              <w:rPr>
                <w:sz w:val="18"/>
              </w:rPr>
              <w:t>5.</w:t>
            </w:r>
            <w:r w:rsidR="00CD6B71">
              <w:rPr>
                <w:sz w:val="18"/>
              </w:rPr>
              <w:t>4</w:t>
            </w:r>
          </w:p>
        </w:tc>
        <w:tc>
          <w:tcPr>
            <w:tcW w:w="9630" w:type="dxa"/>
          </w:tcPr>
          <w:p w:rsidR="00F93CE3" w:rsidRPr="005B0F56" w:rsidRDefault="00F93CE3" w:rsidP="00F93CE3">
            <w:pPr>
              <w:pStyle w:val="Heading1"/>
              <w:rPr>
                <w:rFonts w:ascii="Times New Roman" w:hAnsi="Times New Roman" w:cs="Times New Roman"/>
              </w:rPr>
            </w:pPr>
            <w:r w:rsidRPr="005B0F56">
              <w:rPr>
                <w:rFonts w:ascii="Times New Roman" w:eastAsia="Times New Roman" w:hAnsi="Times New Roman" w:cs="Times New Roman"/>
                <w:b w:val="0"/>
              </w:rPr>
              <w:t>To protect against cold, heat, sun injury, and insect-borne disease, the program ensures that:</w:t>
            </w:r>
          </w:p>
          <w:p w:rsidR="00F93CE3" w:rsidRPr="005B0F56" w:rsidRDefault="00F93CE3" w:rsidP="00F93CE3">
            <w:pPr>
              <w:numPr>
                <w:ilvl w:val="0"/>
                <w:numId w:val="20"/>
              </w:numPr>
              <w:tabs>
                <w:tab w:val="left" w:pos="7200"/>
              </w:tabs>
              <w:spacing w:before="40" w:after="40" w:line="228" w:lineRule="auto"/>
              <w:ind w:left="695" w:hanging="270"/>
              <w:rPr>
                <w:sz w:val="20"/>
                <w:szCs w:val="20"/>
              </w:rPr>
            </w:pPr>
            <w:r w:rsidRPr="005B0F56">
              <w:rPr>
                <w:sz w:val="20"/>
                <w:szCs w:val="20"/>
              </w:rPr>
              <w:t>Children wear clothing that is dry and layered for warmth in cold weather.</w:t>
            </w:r>
          </w:p>
          <w:p w:rsidR="00F93CE3" w:rsidRPr="005B0F56" w:rsidRDefault="00F93CE3" w:rsidP="00F93CE3">
            <w:pPr>
              <w:numPr>
                <w:ilvl w:val="0"/>
                <w:numId w:val="20"/>
              </w:numPr>
              <w:tabs>
                <w:tab w:val="left" w:pos="7200"/>
              </w:tabs>
              <w:spacing w:before="40" w:after="40" w:line="228" w:lineRule="auto"/>
              <w:ind w:left="695" w:hanging="270"/>
              <w:rPr>
                <w:sz w:val="20"/>
                <w:szCs w:val="20"/>
              </w:rPr>
            </w:pPr>
            <w:r w:rsidRPr="005B0F56">
              <w:rPr>
                <w:sz w:val="20"/>
                <w:szCs w:val="20"/>
              </w:rPr>
              <w:t>Children have the opportunity to play in the shade. When in the sun, they wear sun-protective clothing, applied skin protection, or both. Applied skin protection will be either sunscreen or sun block with UVB and UVA protection of SPF 15 or higher that is applied to exposed skin (only with written parental permission to do so).</w:t>
            </w:r>
          </w:p>
          <w:p w:rsidR="00CF78D5" w:rsidRPr="00F93CE3" w:rsidRDefault="00F93CE3" w:rsidP="00F93CE3">
            <w:pPr>
              <w:numPr>
                <w:ilvl w:val="0"/>
                <w:numId w:val="20"/>
              </w:numPr>
              <w:tabs>
                <w:tab w:val="left" w:pos="7200"/>
              </w:tabs>
              <w:spacing w:before="40" w:after="40" w:line="228" w:lineRule="auto"/>
              <w:ind w:left="695" w:hanging="270"/>
              <w:rPr>
                <w:sz w:val="20"/>
                <w:szCs w:val="20"/>
              </w:rPr>
            </w:pPr>
            <w:r w:rsidRPr="005B0F56">
              <w:rPr>
                <w:sz w:val="20"/>
                <w:szCs w:val="20"/>
              </w:rPr>
              <w:t>When public health authorities recommend use of insect repellents due to a high risk of insect-borne disease, only repellents containing DEET are used, and these are only applied on children older than 2 months of age. Staff apply insect repellent no more than once a day and only with written parental permission.</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710"/>
        </w:trPr>
        <w:tc>
          <w:tcPr>
            <w:tcW w:w="828" w:type="dxa"/>
          </w:tcPr>
          <w:p w:rsidR="00A87519" w:rsidRPr="009833A9" w:rsidRDefault="002621DC" w:rsidP="00A87519">
            <w:pPr>
              <w:rPr>
                <w:sz w:val="18"/>
              </w:rPr>
            </w:pPr>
            <w:r>
              <w:br w:type="page"/>
            </w:r>
            <w:r w:rsidR="00CF78D5" w:rsidRPr="009833A9">
              <w:rPr>
                <w:sz w:val="18"/>
              </w:rPr>
              <w:t>5.</w:t>
            </w:r>
            <w:r w:rsidR="00CD6B71">
              <w:rPr>
                <w:sz w:val="18"/>
              </w:rPr>
              <w:t>8</w:t>
            </w:r>
            <w:r w:rsidR="00CF78D5">
              <w:rPr>
                <w:sz w:val="18"/>
              </w:rPr>
              <w:t xml:space="preserve"> </w:t>
            </w:r>
          </w:p>
        </w:tc>
        <w:tc>
          <w:tcPr>
            <w:tcW w:w="9630" w:type="dxa"/>
          </w:tcPr>
          <w:p w:rsidR="00F93CE3" w:rsidRPr="002F1D4E" w:rsidRDefault="00F93CE3" w:rsidP="00F93CE3">
            <w:pPr>
              <w:spacing w:before="40" w:after="40"/>
              <w:ind w:left="36"/>
              <w:rPr>
                <w:sz w:val="20"/>
                <w:szCs w:val="20"/>
              </w:rPr>
            </w:pPr>
            <w:r w:rsidRPr="002F1D4E">
              <w:rPr>
                <w:sz w:val="20"/>
                <w:szCs w:val="20"/>
              </w:rPr>
              <w:t>Safeguards are used with all medications for children:</w:t>
            </w:r>
          </w:p>
          <w:p w:rsidR="00F93CE3" w:rsidRPr="002F1D4E" w:rsidRDefault="00F93CE3" w:rsidP="00F93CE3">
            <w:pPr>
              <w:pStyle w:val="ListParagraph"/>
              <w:numPr>
                <w:ilvl w:val="0"/>
                <w:numId w:val="16"/>
              </w:numPr>
              <w:spacing w:before="40" w:after="40"/>
              <w:rPr>
                <w:rFonts w:ascii="Times New Roman" w:hAnsi="Times New Roman" w:cs="Times New Roman"/>
                <w:sz w:val="20"/>
                <w:szCs w:val="20"/>
              </w:rPr>
            </w:pPr>
            <w:r w:rsidRPr="002F1D4E">
              <w:rPr>
                <w:rFonts w:ascii="Times New Roman" w:hAnsi="Times New Roman" w:cs="Times New Roman"/>
                <w:sz w:val="20"/>
                <w:szCs w:val="20"/>
              </w:rPr>
              <w:t xml:space="preserve">Staff administer both prescription and over-the-counter medications to a child only if the child’s record documents that the parent or legal guardian has given the program written permission. </w:t>
            </w:r>
          </w:p>
          <w:p w:rsidR="00F93CE3" w:rsidRPr="002F1D4E" w:rsidRDefault="00F93CE3" w:rsidP="00F93CE3">
            <w:pPr>
              <w:pStyle w:val="ListParagraph"/>
              <w:numPr>
                <w:ilvl w:val="0"/>
                <w:numId w:val="16"/>
              </w:numPr>
              <w:spacing w:before="40" w:after="40"/>
              <w:rPr>
                <w:rFonts w:ascii="Times New Roman" w:hAnsi="Times New Roman" w:cs="Times New Roman"/>
                <w:sz w:val="20"/>
                <w:szCs w:val="20"/>
              </w:rPr>
            </w:pPr>
            <w:r w:rsidRPr="002F1D4E">
              <w:rPr>
                <w:rFonts w:ascii="Times New Roman" w:hAnsi="Times New Roman" w:cs="Times New Roman"/>
                <w:sz w:val="20"/>
                <w:szCs w:val="20"/>
              </w:rPr>
              <w:t xml:space="preserve">The child’s record includes instructions from the licensed health provider who has prescribed or recommended the medication for that child. </w:t>
            </w:r>
          </w:p>
          <w:p w:rsidR="00F93CE3" w:rsidRPr="002F1D4E" w:rsidRDefault="00F93CE3" w:rsidP="00F93CE3">
            <w:pPr>
              <w:pStyle w:val="ListParagraph"/>
              <w:numPr>
                <w:ilvl w:val="0"/>
                <w:numId w:val="16"/>
              </w:numPr>
              <w:spacing w:before="40" w:after="40"/>
              <w:rPr>
                <w:rFonts w:ascii="Times New Roman" w:hAnsi="Times New Roman" w:cs="Times New Roman"/>
                <w:sz w:val="20"/>
                <w:szCs w:val="20"/>
              </w:rPr>
            </w:pPr>
            <w:r w:rsidRPr="002F1D4E">
              <w:rPr>
                <w:rFonts w:ascii="Times New Roman" w:hAnsi="Times New Roman" w:cs="Times New Roman"/>
                <w:sz w:val="20"/>
                <w:szCs w:val="20"/>
              </w:rPr>
              <w:t>Any administrator or teaching staff who administers medication has (a) specific training and (b) a written performance evaluation updated annually by a health professional on the practice of the six right practices of medication administration: (1) verifying that the right child receives the (2) right medication (3) in the right dose (4) at the right time (5) by the right method with documentation of each right each time the medication is given. (6) The person giving the medication signs documentation of items (1) through (5) above. Teaching staff who are required to administer special medical procedures have demonstrated to a health professional that they are competent in the procedures and are guided in writing about how to perform the procedure by the prescribing health care provider.</w:t>
            </w:r>
          </w:p>
          <w:p w:rsidR="00F93CE3" w:rsidRPr="002F1D4E" w:rsidRDefault="00F93CE3" w:rsidP="00F93CE3">
            <w:pPr>
              <w:pStyle w:val="ListParagraph"/>
              <w:numPr>
                <w:ilvl w:val="0"/>
                <w:numId w:val="16"/>
              </w:numPr>
              <w:spacing w:before="40" w:after="40"/>
              <w:rPr>
                <w:rFonts w:ascii="Times New Roman" w:hAnsi="Times New Roman" w:cs="Times New Roman"/>
                <w:sz w:val="20"/>
                <w:szCs w:val="20"/>
              </w:rPr>
            </w:pPr>
            <w:r w:rsidRPr="002F1D4E">
              <w:rPr>
                <w:rFonts w:ascii="Times New Roman" w:hAnsi="Times New Roman" w:cs="Times New Roman"/>
                <w:sz w:val="20"/>
                <w:szCs w:val="20"/>
              </w:rPr>
              <w:t>Medications are labeled with the child’s first and last names, the date that either the prescription was filled or the recommendation was obtained from the child’s licensed health care provider, the name of the medication or the period of use of the medication, the manufacturer’s instructions or the original prescription label that details the name and strength of the medication, and instructions on how to administer and store it.</w:t>
            </w:r>
          </w:p>
          <w:p w:rsidR="00CF78D5" w:rsidRPr="00F93CE3" w:rsidRDefault="00F93CE3" w:rsidP="00F93CE3">
            <w:pPr>
              <w:pStyle w:val="ListParagraph"/>
              <w:numPr>
                <w:ilvl w:val="0"/>
                <w:numId w:val="16"/>
              </w:numPr>
              <w:spacing w:before="40" w:after="40"/>
              <w:rPr>
                <w:rFonts w:ascii="Times New Roman" w:hAnsi="Times New Roman" w:cs="Times New Roman"/>
                <w:sz w:val="20"/>
                <w:szCs w:val="20"/>
              </w:rPr>
            </w:pPr>
            <w:r w:rsidRPr="002F1D4E">
              <w:rPr>
                <w:rFonts w:ascii="Times New Roman" w:hAnsi="Times New Roman" w:cs="Times New Roman"/>
                <w:sz w:val="20"/>
                <w:szCs w:val="20"/>
              </w:rPr>
              <w:t>All medications are kept in a locked container.</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F78D5" w:rsidRPr="00811757" w:rsidTr="00745C56">
        <w:trPr>
          <w:trHeight w:val="269"/>
        </w:trPr>
        <w:tc>
          <w:tcPr>
            <w:tcW w:w="828" w:type="dxa"/>
          </w:tcPr>
          <w:p w:rsidR="00CF78D5" w:rsidRPr="00861F52" w:rsidRDefault="00CF78D5" w:rsidP="00CD6B71">
            <w:pPr>
              <w:rPr>
                <w:sz w:val="18"/>
              </w:rPr>
            </w:pPr>
            <w:r w:rsidRPr="009833A9">
              <w:rPr>
                <w:sz w:val="18"/>
              </w:rPr>
              <w:t>5.1</w:t>
            </w:r>
            <w:r w:rsidR="00CD6B71">
              <w:rPr>
                <w:sz w:val="18"/>
              </w:rPr>
              <w:t>2</w:t>
            </w:r>
          </w:p>
        </w:tc>
        <w:tc>
          <w:tcPr>
            <w:tcW w:w="9630" w:type="dxa"/>
          </w:tcPr>
          <w:p w:rsidR="00CF78D5" w:rsidRPr="00F93CE3" w:rsidRDefault="00F93CE3" w:rsidP="00F93CE3">
            <w:pPr>
              <w:rPr>
                <w:sz w:val="20"/>
                <w:szCs w:val="20"/>
              </w:rPr>
            </w:pPr>
            <w:r w:rsidRPr="005B0F56">
              <w:rPr>
                <w:sz w:val="20"/>
                <w:szCs w:val="20"/>
              </w:rPr>
              <w:t>For all children with disabilities who have special feeding needs, program staff keep a daily record documenting the type and quantity of food a child consumes and provide families with that information.</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r w:rsidR="00CD6B71" w:rsidRPr="00811757" w:rsidTr="00745C56">
        <w:trPr>
          <w:trHeight w:val="269"/>
        </w:trPr>
        <w:tc>
          <w:tcPr>
            <w:tcW w:w="828" w:type="dxa"/>
          </w:tcPr>
          <w:p w:rsidR="00CD6B71" w:rsidRPr="009833A9" w:rsidRDefault="00CD6B71" w:rsidP="00CD6B71">
            <w:pPr>
              <w:rPr>
                <w:sz w:val="18"/>
              </w:rPr>
            </w:pPr>
            <w:r>
              <w:rPr>
                <w:sz w:val="18"/>
              </w:rPr>
              <w:lastRenderedPageBreak/>
              <w:t>5.13</w:t>
            </w:r>
          </w:p>
        </w:tc>
        <w:tc>
          <w:tcPr>
            <w:tcW w:w="9630" w:type="dxa"/>
          </w:tcPr>
          <w:p w:rsidR="00F93CE3" w:rsidRDefault="00F93CE3" w:rsidP="00F93CE3">
            <w:pPr>
              <w:spacing w:before="40" w:after="40"/>
              <w:rPr>
                <w:sz w:val="20"/>
                <w:szCs w:val="20"/>
              </w:rPr>
            </w:pPr>
            <w:r w:rsidRPr="005B0F56">
              <w:rPr>
                <w:sz w:val="20"/>
                <w:szCs w:val="20"/>
              </w:rPr>
              <w:t xml:space="preserve">For </w:t>
            </w:r>
            <w:r w:rsidRPr="002F1D4E">
              <w:rPr>
                <w:sz w:val="20"/>
                <w:szCs w:val="20"/>
              </w:rPr>
              <w:t xml:space="preserve">each child with special health care needs or food allergies or special nutrition needs, the child’s health provider gives the program an individualized care plan that is prepared in consultation with family members and specialists involved in the child’s care. </w:t>
            </w:r>
          </w:p>
          <w:p w:rsidR="00F93CE3" w:rsidRPr="002F1D4E" w:rsidRDefault="00F93CE3" w:rsidP="00F93CE3">
            <w:pPr>
              <w:spacing w:before="40" w:after="40"/>
              <w:rPr>
                <w:sz w:val="20"/>
                <w:szCs w:val="20"/>
              </w:rPr>
            </w:pPr>
          </w:p>
          <w:p w:rsidR="00CD6B71" w:rsidRPr="00F93CE3" w:rsidRDefault="00F93CE3" w:rsidP="00F93CE3">
            <w:pPr>
              <w:rPr>
                <w:sz w:val="20"/>
                <w:szCs w:val="20"/>
              </w:rPr>
            </w:pPr>
            <w:r w:rsidRPr="002F1D4E">
              <w:rPr>
                <w:sz w:val="20"/>
                <w:szCs w:val="20"/>
              </w:rPr>
              <w:t>The program protects children with food allergies from contact with the problem food. The program asks families of a child with food allergies to give consent for posting information about that child’s food allergy and, if consent is given, then posts that information in the food preparation area and in the areas of the facility the child uses so it is a visual reminder to all those who interact with the child during</w:t>
            </w:r>
            <w:r w:rsidRPr="005B0F56">
              <w:rPr>
                <w:sz w:val="20"/>
                <w:szCs w:val="20"/>
              </w:rPr>
              <w:t xml:space="preserve"> the program day.</w:t>
            </w:r>
          </w:p>
        </w:tc>
        <w:tc>
          <w:tcPr>
            <w:tcW w:w="810" w:type="dxa"/>
          </w:tcPr>
          <w:p w:rsidR="00CD6B71" w:rsidRPr="00811757" w:rsidRDefault="00CD6B71" w:rsidP="00165FF4"/>
        </w:tc>
        <w:tc>
          <w:tcPr>
            <w:tcW w:w="720" w:type="dxa"/>
          </w:tcPr>
          <w:p w:rsidR="00CD6B71" w:rsidRPr="00811757" w:rsidRDefault="00CD6B71" w:rsidP="00165FF4"/>
        </w:tc>
        <w:tc>
          <w:tcPr>
            <w:tcW w:w="720" w:type="dxa"/>
          </w:tcPr>
          <w:p w:rsidR="00CD6B71" w:rsidRPr="00811757" w:rsidRDefault="00CD6B71" w:rsidP="00165FF4"/>
        </w:tc>
        <w:tc>
          <w:tcPr>
            <w:tcW w:w="900" w:type="dxa"/>
          </w:tcPr>
          <w:p w:rsidR="00CD6B71" w:rsidRPr="00811757" w:rsidRDefault="00CD6B71" w:rsidP="00165FF4"/>
        </w:tc>
        <w:tc>
          <w:tcPr>
            <w:tcW w:w="810" w:type="dxa"/>
          </w:tcPr>
          <w:p w:rsidR="00CD6B71" w:rsidRPr="00811757" w:rsidRDefault="00CD6B71" w:rsidP="00165FF4"/>
        </w:tc>
      </w:tr>
      <w:tr w:rsidR="00CF78D5" w:rsidRPr="00811757" w:rsidTr="00745C56">
        <w:trPr>
          <w:trHeight w:val="710"/>
        </w:trPr>
        <w:tc>
          <w:tcPr>
            <w:tcW w:w="828" w:type="dxa"/>
          </w:tcPr>
          <w:p w:rsidR="00CF78D5" w:rsidRPr="009833A9" w:rsidRDefault="00CF78D5" w:rsidP="0018669B">
            <w:pPr>
              <w:rPr>
                <w:sz w:val="18"/>
              </w:rPr>
            </w:pPr>
            <w:r>
              <w:rPr>
                <w:sz w:val="18"/>
              </w:rPr>
              <w:t>7.1</w:t>
            </w:r>
          </w:p>
        </w:tc>
        <w:tc>
          <w:tcPr>
            <w:tcW w:w="9630" w:type="dxa"/>
          </w:tcPr>
          <w:p w:rsidR="00CF78D5" w:rsidRPr="00F93CE3" w:rsidRDefault="00F93CE3" w:rsidP="00F93CE3">
            <w:pPr>
              <w:rPr>
                <w:sz w:val="20"/>
                <w:szCs w:val="20"/>
              </w:rPr>
            </w:pPr>
            <w:r w:rsidRPr="005B0F56">
              <w:rPr>
                <w:sz w:val="20"/>
                <w:szCs w:val="20"/>
              </w:rPr>
              <w:t>Program staff use a variety of formal and informal strategies (including conversations) to become acquainted with and learn from families about their family structure; their preferred child-rearing practices; and information families wish to share about their socioeconomic, linguistic, racial, religious, and cultural backgrounds.</w:t>
            </w:r>
          </w:p>
        </w:tc>
        <w:tc>
          <w:tcPr>
            <w:tcW w:w="810" w:type="dxa"/>
          </w:tcPr>
          <w:p w:rsidR="00CF78D5" w:rsidRPr="00811757" w:rsidRDefault="00CF78D5" w:rsidP="00165FF4"/>
        </w:tc>
        <w:tc>
          <w:tcPr>
            <w:tcW w:w="720" w:type="dxa"/>
          </w:tcPr>
          <w:p w:rsidR="00CF78D5" w:rsidRPr="00811757" w:rsidRDefault="00CF78D5" w:rsidP="00165FF4"/>
        </w:tc>
        <w:tc>
          <w:tcPr>
            <w:tcW w:w="720" w:type="dxa"/>
          </w:tcPr>
          <w:p w:rsidR="00CF78D5" w:rsidRPr="00811757" w:rsidRDefault="00CF78D5" w:rsidP="00165FF4"/>
        </w:tc>
        <w:tc>
          <w:tcPr>
            <w:tcW w:w="900" w:type="dxa"/>
          </w:tcPr>
          <w:p w:rsidR="00CF78D5" w:rsidRPr="00811757" w:rsidRDefault="00CF78D5" w:rsidP="00165FF4"/>
        </w:tc>
        <w:tc>
          <w:tcPr>
            <w:tcW w:w="810" w:type="dxa"/>
          </w:tcPr>
          <w:p w:rsidR="00CF78D5" w:rsidRPr="00811757" w:rsidRDefault="00CF78D5" w:rsidP="00165FF4"/>
        </w:tc>
      </w:tr>
    </w:tbl>
    <w:p w:rsidR="0018669B" w:rsidRDefault="0018669B"/>
    <w:sectPr w:rsidR="0018669B" w:rsidSect="00745C56">
      <w:footerReference w:type="default" r:id="rId7"/>
      <w:headerReference w:type="first" r:id="rId8"/>
      <w:footerReference w:type="first" r:id="rId9"/>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CA" w:rsidRDefault="00FD55CA" w:rsidP="0018669B">
      <w:r>
        <w:separator/>
      </w:r>
    </w:p>
  </w:endnote>
  <w:endnote w:type="continuationSeparator" w:id="0">
    <w:p w:rsidR="00FD55CA" w:rsidRDefault="00FD55CA" w:rsidP="0018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C" w:rsidRPr="00DE0921" w:rsidRDefault="0094322C" w:rsidP="00A433D1">
    <w:pPr>
      <w:pStyle w:val="Footer"/>
      <w:tabs>
        <w:tab w:val="left" w:pos="330"/>
        <w:tab w:val="right" w:pos="12960"/>
      </w:tabs>
      <w:rPr>
        <w:sz w:val="18"/>
        <w:szCs w:val="18"/>
      </w:rPr>
    </w:pPr>
    <w:r w:rsidRPr="00DE0921">
      <w:rPr>
        <w:sz w:val="18"/>
        <w:szCs w:val="18"/>
      </w:rPr>
      <w:t xml:space="preserve">IQPPS </w:t>
    </w:r>
    <w:r>
      <w:rPr>
        <w:sz w:val="18"/>
        <w:szCs w:val="18"/>
      </w:rPr>
      <w:t>Child Files</w:t>
    </w:r>
    <w:r w:rsidRPr="00DE0921">
      <w:rPr>
        <w:sz w:val="18"/>
        <w:szCs w:val="18"/>
      </w:rPr>
      <w:tab/>
    </w:r>
    <w:r w:rsidRPr="00DE0921">
      <w:rPr>
        <w:sz w:val="18"/>
        <w:szCs w:val="18"/>
      </w:rPr>
      <w:tab/>
    </w:r>
    <w:r w:rsidRPr="00DE0921">
      <w:rPr>
        <w:sz w:val="18"/>
        <w:szCs w:val="18"/>
      </w:rPr>
      <w:tab/>
    </w:r>
    <w:r w:rsidRPr="00DE0921">
      <w:rPr>
        <w:sz w:val="18"/>
        <w:szCs w:val="18"/>
      </w:rPr>
      <w:fldChar w:fldCharType="begin"/>
    </w:r>
    <w:r w:rsidRPr="00DE0921">
      <w:rPr>
        <w:sz w:val="18"/>
        <w:szCs w:val="18"/>
      </w:rPr>
      <w:instrText xml:space="preserve"> PAGE   \* MERGEFORMAT </w:instrText>
    </w:r>
    <w:r w:rsidRPr="00DE0921">
      <w:rPr>
        <w:sz w:val="18"/>
        <w:szCs w:val="18"/>
      </w:rPr>
      <w:fldChar w:fldCharType="separate"/>
    </w:r>
    <w:r w:rsidR="00CA6E0D">
      <w:rPr>
        <w:noProof/>
        <w:sz w:val="18"/>
        <w:szCs w:val="18"/>
      </w:rPr>
      <w:t>3</w:t>
    </w:r>
    <w:r w:rsidRPr="00DE0921">
      <w:rPr>
        <w:sz w:val="18"/>
        <w:szCs w:val="18"/>
      </w:rPr>
      <w:fldChar w:fldCharType="end"/>
    </w:r>
  </w:p>
  <w:p w:rsidR="0094322C" w:rsidRDefault="00594CF5" w:rsidP="00A433D1">
    <w:pPr>
      <w:pStyle w:val="Footer"/>
      <w:rPr>
        <w:sz w:val="18"/>
        <w:szCs w:val="18"/>
      </w:rPr>
    </w:pPr>
    <w:r>
      <w:rPr>
        <w:sz w:val="18"/>
        <w:szCs w:val="18"/>
      </w:rPr>
      <w:t>2017</w:t>
    </w:r>
  </w:p>
  <w:p w:rsidR="0094322C" w:rsidRPr="00A433D1" w:rsidRDefault="0094322C" w:rsidP="00A433D1">
    <w:pPr>
      <w:pStyle w:val="Footer"/>
      <w:rPr>
        <w:szCs w:val="16"/>
      </w:rPr>
    </w:pPr>
    <w:r>
      <w:rPr>
        <w:sz w:val="18"/>
        <w:szCs w:val="18"/>
      </w:rPr>
      <w:t>PP= Program Portfolio, CO=Classroom Observation, CP=Classroom Portfolio, FI=Family Interview, FT=Facilities Tour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8" w:rsidRPr="00DE0921" w:rsidRDefault="00151108" w:rsidP="00151108">
    <w:pPr>
      <w:pStyle w:val="Footer"/>
      <w:tabs>
        <w:tab w:val="left" w:pos="330"/>
        <w:tab w:val="right" w:pos="12960"/>
      </w:tabs>
      <w:rPr>
        <w:sz w:val="18"/>
        <w:szCs w:val="18"/>
      </w:rPr>
    </w:pPr>
    <w:r w:rsidRPr="00DE0921">
      <w:rPr>
        <w:sz w:val="18"/>
        <w:szCs w:val="18"/>
      </w:rPr>
      <w:t xml:space="preserve">IQPPS </w:t>
    </w:r>
    <w:r>
      <w:rPr>
        <w:sz w:val="18"/>
        <w:szCs w:val="18"/>
      </w:rPr>
      <w:t>Child Files</w:t>
    </w:r>
    <w:r w:rsidRPr="00DE0921">
      <w:rPr>
        <w:sz w:val="18"/>
        <w:szCs w:val="18"/>
      </w:rPr>
      <w:tab/>
    </w:r>
    <w:r w:rsidRPr="00DE0921">
      <w:rPr>
        <w:sz w:val="18"/>
        <w:szCs w:val="18"/>
      </w:rPr>
      <w:tab/>
    </w:r>
    <w:r w:rsidRPr="00DE0921">
      <w:rPr>
        <w:sz w:val="18"/>
        <w:szCs w:val="18"/>
      </w:rPr>
      <w:tab/>
    </w:r>
    <w:r w:rsidRPr="00DE0921">
      <w:rPr>
        <w:sz w:val="18"/>
        <w:szCs w:val="18"/>
      </w:rPr>
      <w:fldChar w:fldCharType="begin"/>
    </w:r>
    <w:r w:rsidRPr="00DE0921">
      <w:rPr>
        <w:sz w:val="18"/>
        <w:szCs w:val="18"/>
      </w:rPr>
      <w:instrText xml:space="preserve"> PAGE   \* MERGEFORMAT </w:instrText>
    </w:r>
    <w:r w:rsidRPr="00DE0921">
      <w:rPr>
        <w:sz w:val="18"/>
        <w:szCs w:val="18"/>
      </w:rPr>
      <w:fldChar w:fldCharType="separate"/>
    </w:r>
    <w:r w:rsidR="00CA6E0D">
      <w:rPr>
        <w:noProof/>
        <w:sz w:val="18"/>
        <w:szCs w:val="18"/>
      </w:rPr>
      <w:t>1</w:t>
    </w:r>
    <w:r w:rsidRPr="00DE0921">
      <w:rPr>
        <w:sz w:val="18"/>
        <w:szCs w:val="18"/>
      </w:rPr>
      <w:fldChar w:fldCharType="end"/>
    </w:r>
  </w:p>
  <w:p w:rsidR="00151108" w:rsidRDefault="00D36395" w:rsidP="00151108">
    <w:pPr>
      <w:pStyle w:val="Footer"/>
      <w:rPr>
        <w:sz w:val="18"/>
        <w:szCs w:val="18"/>
      </w:rPr>
    </w:pPr>
    <w:r>
      <w:rPr>
        <w:sz w:val="18"/>
        <w:szCs w:val="18"/>
      </w:rPr>
      <w:t>2017</w:t>
    </w:r>
  </w:p>
  <w:p w:rsidR="00151108" w:rsidRPr="00DE0921" w:rsidRDefault="00151108" w:rsidP="00151108">
    <w:pPr>
      <w:pStyle w:val="Footer"/>
      <w:rPr>
        <w:sz w:val="18"/>
        <w:szCs w:val="18"/>
      </w:rPr>
    </w:pPr>
    <w:r>
      <w:rPr>
        <w:sz w:val="18"/>
        <w:szCs w:val="18"/>
      </w:rPr>
      <w:t>PP= Program Portfolio, CO=Classroom Observation, CP=Classroom Portfolio, FI=Family Interview, FT=Facilities Tour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CA" w:rsidRDefault="00FD55CA" w:rsidP="0018669B">
      <w:r>
        <w:separator/>
      </w:r>
    </w:p>
  </w:footnote>
  <w:footnote w:type="continuationSeparator" w:id="0">
    <w:p w:rsidR="00FD55CA" w:rsidRDefault="00FD55CA" w:rsidP="00186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56" w:rsidRPr="00BE3BA8" w:rsidRDefault="0094322C" w:rsidP="00745C56">
    <w:pPr>
      <w:jc w:val="center"/>
      <w:rPr>
        <w:b/>
        <w:sz w:val="28"/>
        <w:szCs w:val="28"/>
      </w:rPr>
    </w:pPr>
    <w:r>
      <w:tab/>
    </w:r>
    <w:r w:rsidR="00745C56" w:rsidRPr="00BE3BA8">
      <w:rPr>
        <w:b/>
        <w:sz w:val="28"/>
        <w:szCs w:val="28"/>
      </w:rPr>
      <w:t>Iowa Quality Preschool Program Standards</w:t>
    </w:r>
  </w:p>
  <w:p w:rsidR="00745C56" w:rsidRPr="00BE3BA8" w:rsidRDefault="00745C56" w:rsidP="00745C56">
    <w:pPr>
      <w:jc w:val="center"/>
      <w:rPr>
        <w:b/>
        <w:sz w:val="28"/>
        <w:szCs w:val="28"/>
      </w:rPr>
    </w:pPr>
    <w:r w:rsidRPr="00BE3BA8">
      <w:rPr>
        <w:b/>
        <w:sz w:val="28"/>
        <w:szCs w:val="28"/>
      </w:rPr>
      <w:t>Child Files Worksheet</w:t>
    </w:r>
  </w:p>
  <w:p w:rsidR="00745C56" w:rsidRDefault="00745C56" w:rsidP="00745C56">
    <w:pPr>
      <w:pStyle w:val="Header"/>
      <w:rPr>
        <w:b/>
        <w:sz w:val="22"/>
        <w:szCs w:val="22"/>
      </w:rPr>
    </w:pPr>
    <w:r w:rsidRPr="00673734">
      <w:rPr>
        <w:b/>
        <w:sz w:val="22"/>
        <w:szCs w:val="22"/>
      </w:rPr>
      <w:t>District:  __________</w:t>
    </w:r>
    <w:r>
      <w:rPr>
        <w:b/>
        <w:sz w:val="22"/>
        <w:szCs w:val="22"/>
      </w:rPr>
      <w:t>_____________________</w:t>
    </w:r>
    <w:proofErr w:type="gramStart"/>
    <w:r>
      <w:rPr>
        <w:b/>
        <w:sz w:val="22"/>
        <w:szCs w:val="22"/>
      </w:rPr>
      <w:t>_  School</w:t>
    </w:r>
    <w:proofErr w:type="gramEnd"/>
    <w:r>
      <w:rPr>
        <w:b/>
        <w:sz w:val="22"/>
        <w:szCs w:val="22"/>
      </w:rPr>
      <w:t>: _________________________</w:t>
    </w:r>
    <w:r w:rsidRPr="00A433D1">
      <w:rPr>
        <w:b/>
        <w:sz w:val="22"/>
        <w:szCs w:val="22"/>
      </w:rPr>
      <w:t xml:space="preserve"> </w:t>
    </w:r>
    <w:r>
      <w:rPr>
        <w:b/>
        <w:sz w:val="22"/>
        <w:szCs w:val="22"/>
      </w:rPr>
      <w:t xml:space="preserve">  Teacher: ________________________________</w:t>
    </w:r>
  </w:p>
  <w:p w:rsidR="00745C56" w:rsidRDefault="00745C56" w:rsidP="00745C56">
    <w:pPr>
      <w:pStyle w:val="Header"/>
      <w:rPr>
        <w:b/>
        <w:sz w:val="22"/>
        <w:szCs w:val="22"/>
      </w:rPr>
    </w:pPr>
    <w:r w:rsidRPr="00673734">
      <w:rPr>
        <w:b/>
        <w:sz w:val="22"/>
        <w:szCs w:val="22"/>
      </w:rPr>
      <w:t>Verifier:  _______</w:t>
    </w:r>
    <w:r>
      <w:rPr>
        <w:b/>
        <w:sz w:val="22"/>
        <w:szCs w:val="22"/>
      </w:rPr>
      <w:t>_________________________</w:t>
    </w:r>
    <w:r w:rsidR="006D3325">
      <w:rPr>
        <w:b/>
        <w:sz w:val="22"/>
        <w:szCs w:val="22"/>
      </w:rPr>
      <w:tab/>
    </w:r>
    <w:r>
      <w:rPr>
        <w:b/>
        <w:sz w:val="22"/>
        <w:szCs w:val="22"/>
      </w:rPr>
      <w:t xml:space="preserve">  </w:t>
    </w:r>
    <w:r w:rsidRPr="00673734">
      <w:rPr>
        <w:b/>
        <w:sz w:val="22"/>
        <w:szCs w:val="22"/>
      </w:rPr>
      <w:t xml:space="preserve">Date:  </w:t>
    </w:r>
    <w:r>
      <w:rPr>
        <w:b/>
        <w:sz w:val="22"/>
        <w:szCs w:val="22"/>
      </w:rPr>
      <w:t>_</w:t>
    </w:r>
    <w:r w:rsidRPr="00673734">
      <w:rPr>
        <w:b/>
        <w:sz w:val="22"/>
        <w:szCs w:val="22"/>
      </w:rPr>
      <w:t>__</w:t>
    </w:r>
    <w:r>
      <w:rPr>
        <w:b/>
        <w:sz w:val="22"/>
        <w:szCs w:val="22"/>
      </w:rPr>
      <w:t>________</w:t>
    </w:r>
    <w:r w:rsidRPr="00673734">
      <w:rPr>
        <w:b/>
        <w:sz w:val="22"/>
        <w:szCs w:val="22"/>
      </w:rPr>
      <w:t>__</w:t>
    </w:r>
    <w:r>
      <w:rPr>
        <w:b/>
        <w:sz w:val="22"/>
        <w:szCs w:val="22"/>
      </w:rPr>
      <w:t>____</w:t>
    </w:r>
    <w:r w:rsidRPr="00673734">
      <w:rPr>
        <w:b/>
        <w:sz w:val="22"/>
        <w:szCs w:val="22"/>
      </w:rPr>
      <w:t>__________________</w:t>
    </w:r>
  </w:p>
  <w:p w:rsidR="0094322C" w:rsidRDefault="0094322C" w:rsidP="00745C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48C6"/>
    <w:multiLevelType w:val="hybridMultilevel"/>
    <w:tmpl w:val="EA926DF6"/>
    <w:lvl w:ilvl="0" w:tplc="CA64D316">
      <w:start w:val="1"/>
      <w:numFmt w:val="bullet"/>
      <w:lvlText w:val=""/>
      <w:lvlJc w:val="left"/>
      <w:pPr>
        <w:tabs>
          <w:tab w:val="num" w:pos="288"/>
        </w:tabs>
        <w:ind w:left="288"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26F5"/>
    <w:multiLevelType w:val="hybridMultilevel"/>
    <w:tmpl w:val="6C64D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05F70"/>
    <w:multiLevelType w:val="hybridMultilevel"/>
    <w:tmpl w:val="90CAFF16"/>
    <w:lvl w:ilvl="0" w:tplc="F3F23726">
      <w:start w:val="1"/>
      <w:numFmt w:val="bullet"/>
      <w:lvlText w:val=""/>
      <w:lvlJc w:val="left"/>
      <w:pPr>
        <w:tabs>
          <w:tab w:val="num" w:pos="756"/>
        </w:tabs>
        <w:ind w:left="756" w:hanging="360"/>
      </w:pPr>
      <w:rPr>
        <w:rFonts w:ascii="Symbol" w:hAnsi="Symbol" w:hint="default"/>
        <w:color w:val="auto"/>
      </w:rPr>
    </w:lvl>
    <w:lvl w:ilvl="1" w:tplc="0409000F">
      <w:start w:val="1"/>
      <w:numFmt w:val="decimal"/>
      <w:lvlText w:val="%2."/>
      <w:lvlJc w:val="left"/>
      <w:pPr>
        <w:tabs>
          <w:tab w:val="num" w:pos="1836"/>
        </w:tabs>
        <w:ind w:left="1836" w:hanging="360"/>
      </w:pPr>
      <w:rPr>
        <w:rFonts w:hint="default"/>
        <w:color w:val="auto"/>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3" w15:restartNumberingAfterBreak="0">
    <w:nsid w:val="10F4023B"/>
    <w:multiLevelType w:val="hybridMultilevel"/>
    <w:tmpl w:val="6C383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B3EE3"/>
    <w:multiLevelType w:val="hybridMultilevel"/>
    <w:tmpl w:val="7DC21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F703A"/>
    <w:multiLevelType w:val="hybridMultilevel"/>
    <w:tmpl w:val="4D7C1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3A772E"/>
    <w:multiLevelType w:val="hybridMultilevel"/>
    <w:tmpl w:val="C73AB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5C0FFE"/>
    <w:multiLevelType w:val="hybridMultilevel"/>
    <w:tmpl w:val="84DA0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1F7BCA"/>
    <w:multiLevelType w:val="hybridMultilevel"/>
    <w:tmpl w:val="B3E03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B3A57"/>
    <w:multiLevelType w:val="hybridMultilevel"/>
    <w:tmpl w:val="D504A014"/>
    <w:lvl w:ilvl="0" w:tplc="04090001">
      <w:start w:val="1"/>
      <w:numFmt w:val="bullet"/>
      <w:lvlText w:val=""/>
      <w:lvlJc w:val="left"/>
      <w:pPr>
        <w:ind w:left="396" w:hanging="360"/>
      </w:pPr>
      <w:rPr>
        <w:rFonts w:ascii="Symbol" w:hAnsi="Symbol"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0" w15:restartNumberingAfterBreak="0">
    <w:nsid w:val="33E63BC2"/>
    <w:multiLevelType w:val="multilevel"/>
    <w:tmpl w:val="99CA4E9A"/>
    <w:lvl w:ilvl="0">
      <w:start w:val="1"/>
      <w:numFmt w:val="lowerLetter"/>
      <w:lvlText w:val="%1."/>
      <w:lvlJc w:val="left"/>
      <w:pPr>
        <w:ind w:left="0" w:firstLine="360"/>
      </w:pPr>
      <w:rPr>
        <w:rFonts w:hint="default"/>
      </w:rPr>
    </w:lvl>
    <w:lvl w:ilvl="1">
      <w:start w:val="1"/>
      <w:numFmt w:val="bullet"/>
      <w:lvlText w:val="o"/>
      <w:lvlJc w:val="left"/>
      <w:pPr>
        <w:ind w:left="720" w:firstLine="1080"/>
      </w:pPr>
      <w:rPr>
        <w:rFonts w:ascii="Arial" w:eastAsia="Arial" w:hAnsi="Arial" w:cs="Arial" w:hint="default"/>
      </w:rPr>
    </w:lvl>
    <w:lvl w:ilvl="2">
      <w:start w:val="1"/>
      <w:numFmt w:val="bullet"/>
      <w:lvlText w:val="▪"/>
      <w:lvlJc w:val="left"/>
      <w:pPr>
        <w:ind w:left="1440" w:firstLine="1800"/>
      </w:pPr>
      <w:rPr>
        <w:rFonts w:ascii="Arial" w:eastAsia="Arial" w:hAnsi="Arial" w:cs="Arial" w:hint="default"/>
      </w:rPr>
    </w:lvl>
    <w:lvl w:ilvl="3">
      <w:start w:val="1"/>
      <w:numFmt w:val="bullet"/>
      <w:lvlText w:val="●"/>
      <w:lvlJc w:val="left"/>
      <w:pPr>
        <w:ind w:left="2160" w:firstLine="2520"/>
      </w:pPr>
      <w:rPr>
        <w:rFonts w:ascii="Arial" w:eastAsia="Arial" w:hAnsi="Arial" w:cs="Arial" w:hint="default"/>
      </w:rPr>
    </w:lvl>
    <w:lvl w:ilvl="4">
      <w:start w:val="1"/>
      <w:numFmt w:val="bullet"/>
      <w:lvlText w:val="o"/>
      <w:lvlJc w:val="left"/>
      <w:pPr>
        <w:ind w:left="2880" w:firstLine="3240"/>
      </w:pPr>
      <w:rPr>
        <w:rFonts w:ascii="Arial" w:eastAsia="Arial" w:hAnsi="Arial" w:cs="Arial" w:hint="default"/>
      </w:rPr>
    </w:lvl>
    <w:lvl w:ilvl="5">
      <w:start w:val="1"/>
      <w:numFmt w:val="bullet"/>
      <w:lvlText w:val="▪"/>
      <w:lvlJc w:val="left"/>
      <w:pPr>
        <w:ind w:left="3600" w:firstLine="3960"/>
      </w:pPr>
      <w:rPr>
        <w:rFonts w:ascii="Arial" w:eastAsia="Arial" w:hAnsi="Arial" w:cs="Arial" w:hint="default"/>
      </w:rPr>
    </w:lvl>
    <w:lvl w:ilvl="6">
      <w:start w:val="1"/>
      <w:numFmt w:val="bullet"/>
      <w:lvlText w:val="●"/>
      <w:lvlJc w:val="left"/>
      <w:pPr>
        <w:ind w:left="4320" w:firstLine="4680"/>
      </w:pPr>
      <w:rPr>
        <w:rFonts w:ascii="Arial" w:eastAsia="Arial" w:hAnsi="Arial" w:cs="Arial" w:hint="default"/>
      </w:rPr>
    </w:lvl>
    <w:lvl w:ilvl="7">
      <w:start w:val="1"/>
      <w:numFmt w:val="bullet"/>
      <w:lvlText w:val="o"/>
      <w:lvlJc w:val="left"/>
      <w:pPr>
        <w:ind w:left="5040" w:firstLine="5400"/>
      </w:pPr>
      <w:rPr>
        <w:rFonts w:ascii="Arial" w:eastAsia="Arial" w:hAnsi="Arial" w:cs="Arial" w:hint="default"/>
      </w:rPr>
    </w:lvl>
    <w:lvl w:ilvl="8">
      <w:start w:val="1"/>
      <w:numFmt w:val="bullet"/>
      <w:lvlText w:val="▪"/>
      <w:lvlJc w:val="left"/>
      <w:pPr>
        <w:ind w:left="5760" w:firstLine="6120"/>
      </w:pPr>
      <w:rPr>
        <w:rFonts w:ascii="Arial" w:eastAsia="Arial" w:hAnsi="Arial" w:cs="Arial" w:hint="default"/>
      </w:rPr>
    </w:lvl>
  </w:abstractNum>
  <w:abstractNum w:abstractNumId="11" w15:restartNumberingAfterBreak="0">
    <w:nsid w:val="3E910E90"/>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A061CE8"/>
    <w:multiLevelType w:val="hybridMultilevel"/>
    <w:tmpl w:val="2F3EA5F6"/>
    <w:lvl w:ilvl="0" w:tplc="8D9C27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3B0496"/>
    <w:multiLevelType w:val="multilevel"/>
    <w:tmpl w:val="EF8C4E22"/>
    <w:lvl w:ilvl="0">
      <w:start w:val="1"/>
      <w:numFmt w:val="lowerLetter"/>
      <w:lvlText w:val="%1."/>
      <w:lvlJc w:val="left"/>
      <w:pPr>
        <w:ind w:left="360" w:firstLine="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1D3433F"/>
    <w:multiLevelType w:val="hybridMultilevel"/>
    <w:tmpl w:val="3888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420E3"/>
    <w:multiLevelType w:val="multilevel"/>
    <w:tmpl w:val="663689C8"/>
    <w:lvl w:ilvl="0">
      <w:start w:val="3"/>
      <w:numFmt w:val="lowerLetter"/>
      <w:lvlText w:val="%1."/>
      <w:lvlJc w:val="left"/>
      <w:pPr>
        <w:ind w:left="0" w:firstLine="360"/>
      </w:pPr>
      <w:rPr>
        <w:rFonts w:hint="default"/>
      </w:rPr>
    </w:lvl>
    <w:lvl w:ilvl="1">
      <w:start w:val="1"/>
      <w:numFmt w:val="bullet"/>
      <w:lvlText w:val="o"/>
      <w:lvlJc w:val="left"/>
      <w:pPr>
        <w:ind w:left="720" w:firstLine="1080"/>
      </w:pPr>
      <w:rPr>
        <w:rFonts w:ascii="Arial" w:eastAsia="Arial" w:hAnsi="Arial" w:cs="Arial" w:hint="default"/>
      </w:rPr>
    </w:lvl>
    <w:lvl w:ilvl="2">
      <w:start w:val="1"/>
      <w:numFmt w:val="bullet"/>
      <w:lvlText w:val="▪"/>
      <w:lvlJc w:val="left"/>
      <w:pPr>
        <w:ind w:left="1440" w:firstLine="1800"/>
      </w:pPr>
      <w:rPr>
        <w:rFonts w:ascii="Arial" w:eastAsia="Arial" w:hAnsi="Arial" w:cs="Arial" w:hint="default"/>
      </w:rPr>
    </w:lvl>
    <w:lvl w:ilvl="3">
      <w:start w:val="1"/>
      <w:numFmt w:val="bullet"/>
      <w:lvlText w:val="●"/>
      <w:lvlJc w:val="left"/>
      <w:pPr>
        <w:ind w:left="2160" w:firstLine="2520"/>
      </w:pPr>
      <w:rPr>
        <w:rFonts w:ascii="Arial" w:eastAsia="Arial" w:hAnsi="Arial" w:cs="Arial" w:hint="default"/>
      </w:rPr>
    </w:lvl>
    <w:lvl w:ilvl="4">
      <w:start w:val="1"/>
      <w:numFmt w:val="bullet"/>
      <w:lvlText w:val="o"/>
      <w:lvlJc w:val="left"/>
      <w:pPr>
        <w:ind w:left="2880" w:firstLine="3240"/>
      </w:pPr>
      <w:rPr>
        <w:rFonts w:ascii="Arial" w:eastAsia="Arial" w:hAnsi="Arial" w:cs="Arial" w:hint="default"/>
      </w:rPr>
    </w:lvl>
    <w:lvl w:ilvl="5">
      <w:start w:val="1"/>
      <w:numFmt w:val="bullet"/>
      <w:lvlText w:val="▪"/>
      <w:lvlJc w:val="left"/>
      <w:pPr>
        <w:ind w:left="3600" w:firstLine="3960"/>
      </w:pPr>
      <w:rPr>
        <w:rFonts w:ascii="Arial" w:eastAsia="Arial" w:hAnsi="Arial" w:cs="Arial" w:hint="default"/>
      </w:rPr>
    </w:lvl>
    <w:lvl w:ilvl="6">
      <w:start w:val="1"/>
      <w:numFmt w:val="bullet"/>
      <w:lvlText w:val="●"/>
      <w:lvlJc w:val="left"/>
      <w:pPr>
        <w:ind w:left="4320" w:firstLine="4680"/>
      </w:pPr>
      <w:rPr>
        <w:rFonts w:ascii="Arial" w:eastAsia="Arial" w:hAnsi="Arial" w:cs="Arial" w:hint="default"/>
      </w:rPr>
    </w:lvl>
    <w:lvl w:ilvl="7">
      <w:start w:val="1"/>
      <w:numFmt w:val="bullet"/>
      <w:lvlText w:val="o"/>
      <w:lvlJc w:val="left"/>
      <w:pPr>
        <w:ind w:left="5040" w:firstLine="5400"/>
      </w:pPr>
      <w:rPr>
        <w:rFonts w:ascii="Arial" w:eastAsia="Arial" w:hAnsi="Arial" w:cs="Arial" w:hint="default"/>
      </w:rPr>
    </w:lvl>
    <w:lvl w:ilvl="8">
      <w:start w:val="1"/>
      <w:numFmt w:val="bullet"/>
      <w:lvlText w:val="▪"/>
      <w:lvlJc w:val="left"/>
      <w:pPr>
        <w:ind w:left="5760" w:firstLine="6120"/>
      </w:pPr>
      <w:rPr>
        <w:rFonts w:ascii="Arial" w:eastAsia="Arial" w:hAnsi="Arial" w:cs="Arial" w:hint="default"/>
      </w:rPr>
    </w:lvl>
  </w:abstractNum>
  <w:abstractNum w:abstractNumId="16" w15:restartNumberingAfterBreak="0">
    <w:nsid w:val="64A84FCF"/>
    <w:multiLevelType w:val="hybridMultilevel"/>
    <w:tmpl w:val="DF02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55CB3"/>
    <w:multiLevelType w:val="hybridMultilevel"/>
    <w:tmpl w:val="2E92E8F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034B0E"/>
    <w:multiLevelType w:val="hybridMultilevel"/>
    <w:tmpl w:val="577CA950"/>
    <w:lvl w:ilvl="0" w:tplc="04090019">
      <w:start w:val="1"/>
      <w:numFmt w:val="lowerLetter"/>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9" w15:restartNumberingAfterBreak="0">
    <w:nsid w:val="763772CC"/>
    <w:multiLevelType w:val="hybridMultilevel"/>
    <w:tmpl w:val="B96AC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503ED8"/>
    <w:multiLevelType w:val="hybridMultilevel"/>
    <w:tmpl w:val="4CD27A4E"/>
    <w:lvl w:ilvl="0" w:tplc="8D9C2738">
      <w:start w:val="1"/>
      <w:numFmt w:val="bullet"/>
      <w:lvlText w:val=""/>
      <w:lvlJc w:val="left"/>
      <w:pPr>
        <w:tabs>
          <w:tab w:val="num" w:pos="720"/>
        </w:tabs>
        <w:ind w:left="720" w:hanging="360"/>
      </w:pPr>
      <w:rPr>
        <w:rFonts w:ascii="Symbol" w:hAnsi="Symbol" w:hint="default"/>
      </w:rPr>
    </w:lvl>
    <w:lvl w:ilvl="1" w:tplc="F3F2372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8"/>
  </w:num>
  <w:num w:numId="4">
    <w:abstractNumId w:val="12"/>
  </w:num>
  <w:num w:numId="5">
    <w:abstractNumId w:val="4"/>
  </w:num>
  <w:num w:numId="6">
    <w:abstractNumId w:val="20"/>
  </w:num>
  <w:num w:numId="7">
    <w:abstractNumId w:val="2"/>
  </w:num>
  <w:num w:numId="8">
    <w:abstractNumId w:val="1"/>
  </w:num>
  <w:num w:numId="9">
    <w:abstractNumId w:val="14"/>
  </w:num>
  <w:num w:numId="10">
    <w:abstractNumId w:val="5"/>
  </w:num>
  <w:num w:numId="11">
    <w:abstractNumId w:val="7"/>
  </w:num>
  <w:num w:numId="12">
    <w:abstractNumId w:val="16"/>
  </w:num>
  <w:num w:numId="13">
    <w:abstractNumId w:val="19"/>
  </w:num>
  <w:num w:numId="14">
    <w:abstractNumId w:val="6"/>
  </w:num>
  <w:num w:numId="15">
    <w:abstractNumId w:val="9"/>
  </w:num>
  <w:num w:numId="16">
    <w:abstractNumId w:val="17"/>
  </w:num>
  <w:num w:numId="17">
    <w:abstractNumId w:val="11"/>
  </w:num>
  <w:num w:numId="18">
    <w:abstractNumId w:val="13"/>
  </w:num>
  <w:num w:numId="19">
    <w:abstractNumId w:val="15"/>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9B"/>
    <w:rsid w:val="0004414D"/>
    <w:rsid w:val="00151108"/>
    <w:rsid w:val="00165FF4"/>
    <w:rsid w:val="0018669B"/>
    <w:rsid w:val="001B306F"/>
    <w:rsid w:val="002621DC"/>
    <w:rsid w:val="00333BA7"/>
    <w:rsid w:val="00367C60"/>
    <w:rsid w:val="003D2AFF"/>
    <w:rsid w:val="004129EA"/>
    <w:rsid w:val="00434124"/>
    <w:rsid w:val="00473DEA"/>
    <w:rsid w:val="005355F7"/>
    <w:rsid w:val="00594CF5"/>
    <w:rsid w:val="00616F6B"/>
    <w:rsid w:val="0063084E"/>
    <w:rsid w:val="0066311D"/>
    <w:rsid w:val="006836EA"/>
    <w:rsid w:val="006D3325"/>
    <w:rsid w:val="0071098E"/>
    <w:rsid w:val="00745C56"/>
    <w:rsid w:val="00797D2B"/>
    <w:rsid w:val="007D7FE6"/>
    <w:rsid w:val="0084365A"/>
    <w:rsid w:val="00861F52"/>
    <w:rsid w:val="0089260D"/>
    <w:rsid w:val="008F7081"/>
    <w:rsid w:val="0094322C"/>
    <w:rsid w:val="009775E9"/>
    <w:rsid w:val="009A3DCD"/>
    <w:rsid w:val="009E7E2D"/>
    <w:rsid w:val="00A433D1"/>
    <w:rsid w:val="00A554B4"/>
    <w:rsid w:val="00A82009"/>
    <w:rsid w:val="00A87519"/>
    <w:rsid w:val="00B16A01"/>
    <w:rsid w:val="00B3796B"/>
    <w:rsid w:val="00B63B98"/>
    <w:rsid w:val="00B66BDE"/>
    <w:rsid w:val="00BA1244"/>
    <w:rsid w:val="00BA523E"/>
    <w:rsid w:val="00BD6C54"/>
    <w:rsid w:val="00BE3BA8"/>
    <w:rsid w:val="00CA6E0D"/>
    <w:rsid w:val="00CB1641"/>
    <w:rsid w:val="00CB2848"/>
    <w:rsid w:val="00CB2BA2"/>
    <w:rsid w:val="00CD6B71"/>
    <w:rsid w:val="00CF78D5"/>
    <w:rsid w:val="00D36395"/>
    <w:rsid w:val="00DE1782"/>
    <w:rsid w:val="00E02356"/>
    <w:rsid w:val="00E56D37"/>
    <w:rsid w:val="00EE045B"/>
    <w:rsid w:val="00F551A5"/>
    <w:rsid w:val="00F62D70"/>
    <w:rsid w:val="00F93CE3"/>
    <w:rsid w:val="00F967FE"/>
    <w:rsid w:val="00FB670E"/>
    <w:rsid w:val="00FD55CA"/>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4FAC3B1A-BAFE-4243-8C64-F046F493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9B"/>
    <w:rPr>
      <w:rFonts w:ascii="Times New Roman" w:eastAsia="Times New Roman" w:hAnsi="Times New Roman"/>
      <w:sz w:val="24"/>
      <w:szCs w:val="24"/>
    </w:rPr>
  </w:style>
  <w:style w:type="paragraph" w:styleId="Heading1">
    <w:name w:val="heading 1"/>
    <w:basedOn w:val="Normal"/>
    <w:next w:val="Normal"/>
    <w:link w:val="Heading1Char"/>
    <w:rsid w:val="00F93CE3"/>
    <w:pPr>
      <w:keepNext/>
      <w:keepLines/>
      <w:outlineLvl w:val="0"/>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69B"/>
    <w:pPr>
      <w:tabs>
        <w:tab w:val="center" w:pos="4680"/>
        <w:tab w:val="right" w:pos="9360"/>
      </w:tabs>
    </w:pPr>
  </w:style>
  <w:style w:type="character" w:customStyle="1" w:styleId="HeaderChar">
    <w:name w:val="Header Char"/>
    <w:basedOn w:val="DefaultParagraphFont"/>
    <w:link w:val="Header"/>
    <w:uiPriority w:val="99"/>
    <w:rsid w:val="001866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669B"/>
    <w:pPr>
      <w:tabs>
        <w:tab w:val="center" w:pos="4680"/>
        <w:tab w:val="right" w:pos="9360"/>
      </w:tabs>
    </w:pPr>
  </w:style>
  <w:style w:type="character" w:customStyle="1" w:styleId="FooterChar">
    <w:name w:val="Footer Char"/>
    <w:basedOn w:val="DefaultParagraphFont"/>
    <w:link w:val="Footer"/>
    <w:uiPriority w:val="99"/>
    <w:rsid w:val="0018669B"/>
    <w:rPr>
      <w:rFonts w:ascii="Times New Roman" w:eastAsia="Times New Roman" w:hAnsi="Times New Roman" w:cs="Times New Roman"/>
      <w:sz w:val="24"/>
      <w:szCs w:val="24"/>
    </w:rPr>
  </w:style>
  <w:style w:type="paragraph" w:styleId="BodyTextIndent">
    <w:name w:val="Body Text Indent"/>
    <w:basedOn w:val="Normal"/>
    <w:link w:val="BodyTextIndentChar"/>
    <w:rsid w:val="003D2AFF"/>
    <w:pPr>
      <w:spacing w:before="40" w:after="40"/>
      <w:ind w:left="1440"/>
    </w:pPr>
    <w:rPr>
      <w:rFonts w:ascii="Arial" w:hAnsi="Arial" w:cs="Arial"/>
      <w:bCs/>
      <w:sz w:val="18"/>
      <w:szCs w:val="18"/>
    </w:rPr>
  </w:style>
  <w:style w:type="character" w:customStyle="1" w:styleId="BodyTextIndentChar">
    <w:name w:val="Body Text Indent Char"/>
    <w:basedOn w:val="DefaultParagraphFont"/>
    <w:link w:val="BodyTextIndent"/>
    <w:rsid w:val="003D2AFF"/>
    <w:rPr>
      <w:rFonts w:ascii="Arial" w:eastAsia="Times New Roman" w:hAnsi="Arial" w:cs="Arial"/>
      <w:bCs/>
      <w:sz w:val="18"/>
      <w:szCs w:val="18"/>
    </w:rPr>
  </w:style>
  <w:style w:type="paragraph" w:styleId="NoSpacing">
    <w:name w:val="No Spacing"/>
    <w:uiPriority w:val="1"/>
    <w:qFormat/>
    <w:rsid w:val="00B66BDE"/>
    <w:rPr>
      <w:rFonts w:ascii="Times New Roman" w:eastAsia="Times New Roman" w:hAnsi="Times New Roman"/>
      <w:sz w:val="24"/>
      <w:szCs w:val="24"/>
    </w:rPr>
  </w:style>
  <w:style w:type="character" w:customStyle="1" w:styleId="Heading1Char">
    <w:name w:val="Heading 1 Char"/>
    <w:basedOn w:val="DefaultParagraphFont"/>
    <w:link w:val="Heading1"/>
    <w:rsid w:val="00F93CE3"/>
    <w:rPr>
      <w:rFonts w:ascii="Arial" w:eastAsia="Arial" w:hAnsi="Arial" w:cs="Arial"/>
      <w:b/>
      <w:color w:val="000000"/>
    </w:rPr>
  </w:style>
  <w:style w:type="paragraph" w:styleId="ListParagraph">
    <w:name w:val="List Paragraph"/>
    <w:basedOn w:val="Normal"/>
    <w:uiPriority w:val="34"/>
    <w:qFormat/>
    <w:rsid w:val="00F93CE3"/>
    <w:pPr>
      <w:spacing w:line="276" w:lineRule="auto"/>
      <w:ind w:left="72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M. Hugh-Reynolds</dc:creator>
  <cp:lastModifiedBy>Albers, Lisa [IDOE]</cp:lastModifiedBy>
  <cp:revision>2</cp:revision>
  <cp:lastPrinted>2010-07-29T16:33:00Z</cp:lastPrinted>
  <dcterms:created xsi:type="dcterms:W3CDTF">2017-02-01T22:12:00Z</dcterms:created>
  <dcterms:modified xsi:type="dcterms:W3CDTF">2017-02-01T22:12:00Z</dcterms:modified>
</cp:coreProperties>
</file>