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80E" w:rsidRPr="004B0899" w:rsidRDefault="005A5715" w:rsidP="004B0899">
      <w:pPr>
        <w:pStyle w:val="Heading1"/>
      </w:pPr>
      <w:bookmarkStart w:id="0" w:name="_GoBack"/>
      <w:r w:rsidRPr="004B0899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B0899">
        <w:t xml:space="preserve">STEM </w:t>
      </w:r>
      <w:r w:rsidR="004B0899">
        <w:t xml:space="preserve">Endorsement </w:t>
      </w:r>
      <w:r w:rsidRPr="004B0899">
        <w:t>Worksheet</w:t>
      </w:r>
    </w:p>
    <w:bookmarkEnd w:id="0"/>
    <w:p w:rsidR="00A0780E" w:rsidRPr="004B0899" w:rsidRDefault="005A5715" w:rsidP="004B0899">
      <w:pPr>
        <w:rPr>
          <w:b/>
        </w:rPr>
      </w:pPr>
      <w:r w:rsidRPr="004B0899">
        <w:rPr>
          <w:b/>
        </w:rPr>
        <w:t>Endorsement</w:t>
      </w:r>
      <w:r w:rsidR="004B0899" w:rsidRPr="004B0899">
        <w:rPr>
          <w:b/>
        </w:rPr>
        <w:t>s</w:t>
      </w:r>
      <w:r w:rsidRPr="004B0899">
        <w:rPr>
          <w:b/>
        </w:rPr>
        <w:t xml:space="preserve"> 975</w:t>
      </w:r>
      <w:r w:rsidRPr="004B0899">
        <w:rPr>
          <w:b/>
        </w:rPr>
        <w:t xml:space="preserve"> K-8 STEM, 976</w:t>
      </w:r>
      <w:r w:rsidRPr="004B0899">
        <w:rPr>
          <w:b/>
        </w:rPr>
        <w:t xml:space="preserve"> 5-8 STEM</w:t>
      </w:r>
      <w:r w:rsidRPr="004B0899">
        <w:rPr>
          <w:b/>
        </w:rPr>
        <w:t xml:space="preserve"> and 977</w:t>
      </w:r>
      <w:r w:rsidRPr="004B0899">
        <w:rPr>
          <w:b/>
        </w:rPr>
        <w:t xml:space="preserve"> K-12 STEM Specialist</w:t>
      </w:r>
      <w:bookmarkStart w:id="1" w:name="_heading=h.gjdgxs" w:colFirst="0" w:colLast="0"/>
      <w:bookmarkEnd w:id="1"/>
    </w:p>
    <w:p w:rsidR="00A0780E" w:rsidRPr="004B0899" w:rsidRDefault="005A5715" w:rsidP="004B0899">
      <w:pPr>
        <w:rPr>
          <w:b/>
        </w:rPr>
      </w:pPr>
      <w:r w:rsidRPr="004B0899">
        <w:rPr>
          <w:b/>
        </w:rPr>
        <w:t>For 5-8 STEM, be the holder of a 5-12 science, mathematics</w:t>
      </w:r>
      <w:r w:rsidRPr="004B0899">
        <w:rPr>
          <w:b/>
        </w:rPr>
        <w:t>,</w:t>
      </w:r>
      <w:r w:rsidRPr="004B0899">
        <w:rPr>
          <w:b/>
        </w:rPr>
        <w:t xml:space="preserve"> or industrial technology endorsement</w:t>
      </w:r>
      <w:r w:rsidRPr="004B0899">
        <w:rPr>
          <w:b/>
        </w:rPr>
        <w:t xml:space="preserve"> or 5-8 middle school mathematics or science endorsement.</w:t>
      </w:r>
    </w:p>
    <w:p w:rsidR="00A0780E" w:rsidRDefault="005A5715" w:rsidP="004B0899">
      <w:pPr>
        <w:pStyle w:val="ListParagraph"/>
        <w:numPr>
          <w:ilvl w:val="0"/>
          <w:numId w:val="6"/>
        </w:numPr>
      </w:pPr>
      <w:r>
        <w:t>Completion of 12 semester hours of college-level science.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4B08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</w:tbl>
    <w:p w:rsidR="004B0899" w:rsidRDefault="004B0899" w:rsidP="004B0899"/>
    <w:p w:rsidR="00A0780E" w:rsidRDefault="005A5715" w:rsidP="004B0899">
      <w:pPr>
        <w:pStyle w:val="ListParagraph"/>
        <w:numPr>
          <w:ilvl w:val="0"/>
          <w:numId w:val="6"/>
        </w:numPr>
      </w:pPr>
      <w:r>
        <w:t>Completion of 12 semester hours of college-level math (or the completion of Calculus I) to include coursework in computer programming.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4B08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</w:tbl>
    <w:p w:rsidR="004B0899" w:rsidRDefault="004B0899" w:rsidP="004B0899"/>
    <w:p w:rsidR="004B0899" w:rsidRDefault="005A5715" w:rsidP="004B0899">
      <w:pPr>
        <w:pStyle w:val="ListParagraph"/>
        <w:numPr>
          <w:ilvl w:val="0"/>
          <w:numId w:val="6"/>
        </w:numPr>
      </w:pPr>
      <w:r>
        <w:t>Completion of a minimum of three semester hours of coursework in content or pedagogy of engineering and technological design that includes engineering design processes or programming logic and problem-solving models and that may be met through either of th</w:t>
      </w:r>
      <w:r>
        <w:t>e following:</w:t>
      </w:r>
    </w:p>
    <w:p w:rsidR="004B0899" w:rsidRDefault="005A5715" w:rsidP="004B0899">
      <w:pPr>
        <w:pStyle w:val="ListParagraph"/>
        <w:numPr>
          <w:ilvl w:val="1"/>
          <w:numId w:val="10"/>
        </w:numPr>
      </w:pPr>
      <w:r>
        <w:t>Engineering and technological design courses for education majors;</w:t>
      </w:r>
    </w:p>
    <w:p w:rsidR="00A0780E" w:rsidRDefault="005A5715" w:rsidP="004B0899">
      <w:pPr>
        <w:pStyle w:val="ListParagraph"/>
        <w:numPr>
          <w:ilvl w:val="1"/>
          <w:numId w:val="10"/>
        </w:numPr>
      </w:pPr>
      <w:r>
        <w:t>Technology or engineering content coursework.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4B08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</w:tbl>
    <w:p w:rsidR="004B0899" w:rsidRDefault="004B0899" w:rsidP="004B0899"/>
    <w:p w:rsidR="004B0899" w:rsidRDefault="005A5715" w:rsidP="004B0899">
      <w:pPr>
        <w:pStyle w:val="ListParagraph"/>
        <w:numPr>
          <w:ilvl w:val="0"/>
          <w:numId w:val="6"/>
        </w:numPr>
      </w:pPr>
      <w:r>
        <w:t>Completion of a minimum of six semester hours of required coursework in STEM curriculum and methods to include the following essential concepts and skills: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lastRenderedPageBreak/>
        <w:t>Comparing and contrasting the nature and goals of each of the STEM disciplines;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Promoting learning through purposeful, authentic, real-world connections;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Integration of content and context of each of the STEM disciplines;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Interdisciplinary/transdisciplinary approaches to teaching (including but not limited to problem-based learning an</w:t>
      </w:r>
      <w:r>
        <w:t>d project-based learning);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Curriculum and standards mapping;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Engaging subject-matter experts (including but not limited to colleagues, parents, higher education faculty/students, business partners, and informal education agencies) in STEM experiences in an</w:t>
      </w:r>
      <w:r>
        <w:t>d out of the classroom;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Assessment of integrative learning approaches;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Information literacy skills in STEM;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Processes of science and scientific inquiry;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Mathematical problem-solving models;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Communicating to a variety of audiences;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Classroom management in p</w:t>
      </w:r>
      <w:r>
        <w:t>roject-based classrooms;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Instructional strategies for the inclusive classroom;</w:t>
      </w:r>
    </w:p>
    <w:p w:rsidR="004B0899" w:rsidRDefault="005A5715" w:rsidP="004B0899">
      <w:pPr>
        <w:pStyle w:val="ListParagraph"/>
        <w:numPr>
          <w:ilvl w:val="1"/>
          <w:numId w:val="12"/>
        </w:numPr>
      </w:pPr>
      <w:r>
        <w:t>Computational thinking;</w:t>
      </w:r>
    </w:p>
    <w:p w:rsidR="00A0780E" w:rsidRDefault="005A5715" w:rsidP="004B0899">
      <w:pPr>
        <w:pStyle w:val="ListParagraph"/>
        <w:numPr>
          <w:ilvl w:val="1"/>
          <w:numId w:val="12"/>
        </w:numPr>
      </w:pPr>
      <w:r>
        <w:t>Mathematical and technological modeling.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4B08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</w:tbl>
    <w:p w:rsidR="00A0780E" w:rsidRDefault="00A0780E" w:rsidP="004B0899"/>
    <w:p w:rsidR="004B0899" w:rsidRDefault="005A5715" w:rsidP="004B0899">
      <w:pPr>
        <w:pStyle w:val="ListParagraph"/>
        <w:numPr>
          <w:ilvl w:val="0"/>
          <w:numId w:val="6"/>
        </w:numPr>
      </w:pPr>
      <w:r>
        <w:t>Completion of a STEM field experience of a minimum of 30 contact hours that may be met through the following:</w:t>
      </w:r>
    </w:p>
    <w:p w:rsidR="004B0899" w:rsidRDefault="005A5715" w:rsidP="004B0899">
      <w:pPr>
        <w:pStyle w:val="ListParagraph"/>
        <w:numPr>
          <w:ilvl w:val="1"/>
          <w:numId w:val="14"/>
        </w:numPr>
      </w:pPr>
      <w:r>
        <w:t>Completing a STEM research experience;</w:t>
      </w:r>
    </w:p>
    <w:p w:rsidR="004B0899" w:rsidRPr="004B0899" w:rsidRDefault="005A5715" w:rsidP="004B0899">
      <w:pPr>
        <w:pStyle w:val="ListParagraph"/>
        <w:numPr>
          <w:ilvl w:val="1"/>
          <w:numId w:val="14"/>
        </w:numPr>
      </w:pPr>
      <w:r>
        <w:t xml:space="preserve">Participating in a STEM internship at a STEM business or informal education organization; or </w:t>
      </w:r>
    </w:p>
    <w:p w:rsidR="00A0780E" w:rsidRDefault="005A5715" w:rsidP="004B0899">
      <w:pPr>
        <w:pStyle w:val="ListParagraph"/>
        <w:numPr>
          <w:ilvl w:val="1"/>
          <w:numId w:val="14"/>
        </w:numPr>
      </w:pPr>
      <w:r>
        <w:t>Leading</w:t>
      </w:r>
      <w:r>
        <w:t xml:space="preserve"> a STEM extracurricular activity.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4B0899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4B0899" w:rsidRPr="00C12CF2" w:rsidRDefault="004B0899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  <w:tr w:rsidR="004B0899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4B0899" w:rsidRPr="00C12CF2" w:rsidRDefault="004B0899" w:rsidP="00C56101">
            <w:pPr>
              <w:rPr>
                <w:szCs w:val="20"/>
              </w:rPr>
            </w:pPr>
          </w:p>
        </w:tc>
      </w:tr>
    </w:tbl>
    <w:p w:rsidR="00A0780E" w:rsidRDefault="00A0780E" w:rsidP="004B0899"/>
    <w:p w:rsidR="00A0780E" w:rsidRPr="00785ABA" w:rsidRDefault="00785ABA" w:rsidP="00785ABA">
      <w:pPr>
        <w:rPr>
          <w:b/>
        </w:rPr>
      </w:pPr>
      <w:bookmarkStart w:id="2" w:name="_heading=h.30j0zll" w:colFirst="0" w:colLast="0"/>
      <w:bookmarkEnd w:id="2"/>
      <w:r>
        <w:rPr>
          <w:b/>
        </w:rPr>
        <w:t xml:space="preserve">K-12 </w:t>
      </w:r>
      <w:r w:rsidR="005A5715" w:rsidRPr="00785ABA">
        <w:rPr>
          <w:b/>
        </w:rPr>
        <w:t xml:space="preserve">STEM </w:t>
      </w:r>
      <w:r>
        <w:rPr>
          <w:b/>
        </w:rPr>
        <w:t>S</w:t>
      </w:r>
      <w:r w:rsidR="005A5715" w:rsidRPr="00785ABA">
        <w:rPr>
          <w:b/>
        </w:rPr>
        <w:t>pecialist</w:t>
      </w:r>
      <w:r w:rsidR="005A5715" w:rsidRPr="00785ABA">
        <w:rPr>
          <w:b/>
        </w:rPr>
        <w:t>.</w:t>
      </w:r>
    </w:p>
    <w:p w:rsidR="00A0780E" w:rsidRDefault="005A5715" w:rsidP="00785ABA">
      <w:pPr>
        <w:pStyle w:val="ListParagraph"/>
        <w:numPr>
          <w:ilvl w:val="0"/>
          <w:numId w:val="15"/>
        </w:numPr>
      </w:pPr>
      <w:r>
        <w:t>The applicant will have met the requirements for a standard Iowa teaching license and a teaching endorsement in mathematics, science, engineering, industrial technology, or agriculture.</w:t>
      </w:r>
    </w:p>
    <w:p w:rsidR="00A0780E" w:rsidRDefault="005A5715" w:rsidP="00785ABA">
      <w:pPr>
        <w:pStyle w:val="ListParagraph"/>
        <w:numPr>
          <w:ilvl w:val="0"/>
          <w:numId w:val="15"/>
        </w:numPr>
      </w:pPr>
      <w:r>
        <w:lastRenderedPageBreak/>
        <w:t>The applicant will hold a master’s degree in math, science, engineeri</w:t>
      </w:r>
      <w:r>
        <w:t>ng or technology or another area with at least 12 hours of college-level science and at least 12 hours of college-level math (or completion of Calculus I) to include coursework in computer programming.</w:t>
      </w:r>
    </w:p>
    <w:p w:rsidR="00A0780E" w:rsidRDefault="005A5715" w:rsidP="00785ABA">
      <w:r>
        <w:t>(3) Content. Completion of the engineering and STEM c</w:t>
      </w:r>
      <w:r>
        <w:t>oursework required for the K-8 or 5-8 STEM endorsement, three additional semester hours in STEM leadership, and an internship/externship professional experience or prior professional experience in STEM for a minimum of 90 contact hours.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785AB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785ABA" w:rsidRPr="00C12CF2" w:rsidRDefault="00785AB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785ABA" w:rsidRPr="00C12CF2" w:rsidRDefault="00785AB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785ABA" w:rsidRPr="00C12CF2" w:rsidRDefault="00785AB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785ABA" w:rsidRPr="00C12CF2" w:rsidRDefault="00785AB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785ABA" w:rsidRPr="00C12CF2" w:rsidRDefault="00785AB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785AB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</w:tr>
      <w:tr w:rsidR="00785AB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</w:tr>
      <w:tr w:rsidR="00785AB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85ABA" w:rsidRPr="00C12CF2" w:rsidRDefault="00785ABA" w:rsidP="00C56101">
            <w:pPr>
              <w:rPr>
                <w:szCs w:val="20"/>
              </w:rPr>
            </w:pPr>
          </w:p>
        </w:tc>
      </w:tr>
    </w:tbl>
    <w:p w:rsidR="00785ABA" w:rsidRDefault="00785ABA" w:rsidP="00785ABA"/>
    <w:p w:rsidR="00A0780E" w:rsidRDefault="005A5715" w:rsidP="00785ABA">
      <w:r>
        <w:t>21.3(1)</w:t>
      </w:r>
      <w:r w:rsidR="00785ABA">
        <w:t xml:space="preserve"> </w:t>
      </w:r>
      <w:r>
        <w:t>Adding an endorsement. To add an endorsement to an existing license, the applicant will follow one of these options:</w:t>
      </w:r>
    </w:p>
    <w:p w:rsidR="00A0780E" w:rsidRDefault="005A5715" w:rsidP="00785ABA">
      <w:r>
        <w:t>a. Option 1. Receive the Iowa education institution’s recommendation that the current approved program requirements or state minimum requirements for the endorsement have been met.</w:t>
      </w:r>
    </w:p>
    <w:p w:rsidR="00A0780E" w:rsidRDefault="005A5715" w:rsidP="00785ABA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>course can be waived if the practitioner holds an endorsement in the same content area at a different level and teaches in the new content area successfully while holding a Class B license.</w:t>
      </w:r>
    </w:p>
    <w:sectPr w:rsidR="00A0780E">
      <w:footerReference w:type="default" r:id="rId9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715" w:rsidRDefault="005A5715">
      <w:pPr>
        <w:spacing w:after="0" w:line="240" w:lineRule="auto"/>
      </w:pPr>
      <w:r>
        <w:separator/>
      </w:r>
    </w:p>
  </w:endnote>
  <w:endnote w:type="continuationSeparator" w:id="0">
    <w:p w:rsidR="005A5715" w:rsidRDefault="005A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0E" w:rsidRDefault="005A57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B0899">
      <w:rPr>
        <w:color w:val="000000"/>
      </w:rPr>
      <w:fldChar w:fldCharType="separate"/>
    </w:r>
    <w:r w:rsidR="004B089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715" w:rsidRDefault="005A5715">
      <w:pPr>
        <w:spacing w:after="0" w:line="240" w:lineRule="auto"/>
      </w:pPr>
      <w:r>
        <w:separator/>
      </w:r>
    </w:p>
  </w:footnote>
  <w:footnote w:type="continuationSeparator" w:id="0">
    <w:p w:rsidR="005A5715" w:rsidRDefault="005A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9C4"/>
    <w:multiLevelType w:val="multilevel"/>
    <w:tmpl w:val="510CB75C"/>
    <w:lvl w:ilvl="0">
      <w:start w:val="1"/>
      <w:numFmt w:val="bullet"/>
      <w:lvlText w:val="•"/>
      <w:lvlJc w:val="left"/>
      <w:pPr>
        <w:ind w:left="600" w:hanging="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80" w:hanging="13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00" w:hanging="21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20" w:hanging="28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40" w:hanging="3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0" w:hanging="4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80" w:hanging="49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00" w:hanging="57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20" w:hanging="6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" w15:restartNumberingAfterBreak="0">
    <w:nsid w:val="11BE5C0A"/>
    <w:multiLevelType w:val="multilevel"/>
    <w:tmpl w:val="7D06E96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0" w:hanging="13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 w:hanging="21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 w:hanging="28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 w:hanging="3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 w:hanging="4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 w:hanging="49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 w:hanging="57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 w:hanging="6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135D048D"/>
    <w:multiLevelType w:val="hybridMultilevel"/>
    <w:tmpl w:val="71B49B1A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4C0F6C"/>
    <w:multiLevelType w:val="hybridMultilevel"/>
    <w:tmpl w:val="AA58705E"/>
    <w:lvl w:ilvl="0" w:tplc="53ECFF4A">
      <w:start w:val="1"/>
      <w:numFmt w:val="decimal"/>
      <w:lvlText w:val="%1."/>
      <w:lvlJc w:val="left"/>
      <w:pPr>
        <w:ind w:left="893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" w15:restartNumberingAfterBreak="0">
    <w:nsid w:val="243D75FF"/>
    <w:multiLevelType w:val="multilevel"/>
    <w:tmpl w:val="20A0119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5" w15:restartNumberingAfterBreak="0">
    <w:nsid w:val="2A7343C1"/>
    <w:multiLevelType w:val="hybridMultilevel"/>
    <w:tmpl w:val="8FC04B1A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2A95409D"/>
    <w:multiLevelType w:val="multilevel"/>
    <w:tmpl w:val="106C77B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0" w:hanging="13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 w:hanging="21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 w:hanging="28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 w:hanging="3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 w:hanging="4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 w:hanging="49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 w:hanging="57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 w:hanging="6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3BC25415"/>
    <w:multiLevelType w:val="hybridMultilevel"/>
    <w:tmpl w:val="C45C714A"/>
    <w:lvl w:ilvl="0" w:tplc="53ECFF4A">
      <w:start w:val="1"/>
      <w:numFmt w:val="decimal"/>
      <w:lvlText w:val="%1."/>
      <w:lvlJc w:val="left"/>
      <w:pPr>
        <w:ind w:left="893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49E3401B"/>
    <w:multiLevelType w:val="hybridMultilevel"/>
    <w:tmpl w:val="0E16BB60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4BA376F5"/>
    <w:multiLevelType w:val="hybridMultilevel"/>
    <w:tmpl w:val="B8EAA0A0"/>
    <w:lvl w:ilvl="0" w:tplc="53ECFF4A">
      <w:start w:val="1"/>
      <w:numFmt w:val="decimal"/>
      <w:lvlText w:val="%1."/>
      <w:lvlJc w:val="left"/>
      <w:pPr>
        <w:ind w:left="893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 w15:restartNumberingAfterBreak="0">
    <w:nsid w:val="4EE7331C"/>
    <w:multiLevelType w:val="hybridMultilevel"/>
    <w:tmpl w:val="E0687466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6762611A"/>
    <w:multiLevelType w:val="multilevel"/>
    <w:tmpl w:val="F7B0A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33659F"/>
    <w:multiLevelType w:val="hybridMultilevel"/>
    <w:tmpl w:val="8FC04B1A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7C162BCF"/>
    <w:multiLevelType w:val="hybridMultilevel"/>
    <w:tmpl w:val="A914FD0C"/>
    <w:lvl w:ilvl="0" w:tplc="53ECFF4A">
      <w:start w:val="1"/>
      <w:numFmt w:val="decimal"/>
      <w:lvlText w:val="%1."/>
      <w:lvlJc w:val="left"/>
      <w:pPr>
        <w:ind w:left="893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4" w15:restartNumberingAfterBreak="0">
    <w:nsid w:val="7EC47577"/>
    <w:multiLevelType w:val="hybridMultilevel"/>
    <w:tmpl w:val="32E63198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0E"/>
    <w:rsid w:val="004B0899"/>
    <w:rsid w:val="005A5715"/>
    <w:rsid w:val="00785ABA"/>
    <w:rsid w:val="00A0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8C92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5D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90028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ArYhqBDYoL3L7mqjVBvsfis+uQ==">CgMxLjAyCGguZ2pkZ3hzMgloLjMwajB6bGw4AHIhMTRsNDZaUFRfR014eU41V1lMRExza3lLUllxM2FwZ0h3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Endorsement Worksheet</dc:title>
  <dc:creator>Tubbs, Joanne [BOEE]</dc:creator>
  <cp:lastModifiedBy>Albers, Lisa [IDOE]</cp:lastModifiedBy>
  <cp:revision>2</cp:revision>
  <dcterms:created xsi:type="dcterms:W3CDTF">2025-03-03T21:02:00Z</dcterms:created>
  <dcterms:modified xsi:type="dcterms:W3CDTF">2025-03-03T21:02:00Z</dcterms:modified>
</cp:coreProperties>
</file>