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4554" w14:textId="77777777" w:rsidR="003F7F0C" w:rsidRPr="00423F39" w:rsidRDefault="004D7B1B" w:rsidP="00423F39">
      <w:pPr>
        <w:pStyle w:val="Heading1"/>
      </w:pPr>
      <w:r w:rsidRPr="00423F39">
        <w:drawing>
          <wp:anchor distT="0" distB="0" distL="114300" distR="114300" simplePos="0" relativeHeight="251658240" behindDoc="1" locked="1" layoutInCell="1" allowOverlap="1" wp14:anchorId="4A707EDF" wp14:editId="58C00B4D">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EB6C01" w:rsidRPr="00423F39">
        <w:t xml:space="preserve">Appendix </w:t>
      </w:r>
      <w:r w:rsidR="001B55D9" w:rsidRPr="00423F39">
        <w:t>2</w:t>
      </w:r>
      <w:r w:rsidR="00EB6C01" w:rsidRPr="00423F39">
        <w:t xml:space="preserve">: </w:t>
      </w:r>
      <w:r w:rsidR="002C5910" w:rsidRPr="00423F39">
        <w:t>Curriculum Map</w:t>
      </w:r>
    </w:p>
    <w:p w14:paraId="38E57884" w14:textId="77777777" w:rsidR="007B2762" w:rsidRPr="007B2762" w:rsidRDefault="007B2762" w:rsidP="00423F39">
      <w:r w:rsidRPr="007B2762">
        <w:t xml:space="preserve">Use this curriculum map to document where and how each key area of mathematics educator preparation is addressed within your program. For each criterion listed under the five domains, identify the course(s) where the content is taught and assessed. Include evidence for both </w:t>
      </w:r>
      <w:r w:rsidRPr="007B2762">
        <w:rPr>
          <w:b/>
          <w:bCs/>
        </w:rPr>
        <w:t>content knowledge</w:t>
      </w:r>
      <w:r w:rsidRPr="007B2762">
        <w:t xml:space="preserve"> and </w:t>
      </w:r>
      <w:r w:rsidRPr="007B2762">
        <w:rPr>
          <w:b/>
          <w:bCs/>
        </w:rPr>
        <w:t>application</w:t>
      </w:r>
      <w:r w:rsidRPr="007B2762">
        <w:t>, such as assignments, practicum experiences, or curriculum development tasks.</w:t>
      </w:r>
    </w:p>
    <w:p w14:paraId="564D20FD" w14:textId="77777777" w:rsidR="007B2762" w:rsidRPr="007B2762" w:rsidRDefault="007B2762" w:rsidP="00423F39">
      <w:pPr>
        <w:pStyle w:val="ListParagraph"/>
        <w:numPr>
          <w:ilvl w:val="0"/>
          <w:numId w:val="7"/>
        </w:numPr>
      </w:pPr>
      <w:r w:rsidRPr="007B2762">
        <w:t xml:space="preserve">In the </w:t>
      </w:r>
      <w:r w:rsidRPr="00423F39">
        <w:rPr>
          <w:b/>
          <w:bCs/>
        </w:rPr>
        <w:t>Course columns</w:t>
      </w:r>
      <w:r w:rsidRPr="007B2762">
        <w:t>, list the course code or title where the criterion is addressed.</w:t>
      </w:r>
    </w:p>
    <w:p w14:paraId="67F77D39" w14:textId="77777777" w:rsidR="007B2762" w:rsidRPr="007B2762" w:rsidRDefault="007B2762" w:rsidP="00423F39">
      <w:pPr>
        <w:pStyle w:val="ListParagraph"/>
        <w:numPr>
          <w:ilvl w:val="0"/>
          <w:numId w:val="7"/>
        </w:numPr>
      </w:pPr>
      <w:r w:rsidRPr="007B2762">
        <w:t xml:space="preserve">In the </w:t>
      </w:r>
      <w:r w:rsidRPr="00423F39">
        <w:rPr>
          <w:b/>
          <w:bCs/>
        </w:rPr>
        <w:t>Assessment sections</w:t>
      </w:r>
      <w:r w:rsidRPr="007B2762">
        <w:t>, describe how candidates demonstrate proficiency (e.g., exams, lesson plans, instructional videos, performance tasks).</w:t>
      </w:r>
    </w:p>
    <w:p w14:paraId="1C8BE274" w14:textId="77777777" w:rsidR="007B2762" w:rsidRPr="007B2762" w:rsidRDefault="007B2762" w:rsidP="00423F39">
      <w:pPr>
        <w:pStyle w:val="ListParagraph"/>
        <w:numPr>
          <w:ilvl w:val="0"/>
          <w:numId w:val="7"/>
        </w:numPr>
      </w:pPr>
      <w:r w:rsidRPr="007B2762">
        <w:t>Ensure alignment with Iowa Academic Standards, HF 784 requirements, and the components of high-quality instructional materials.</w:t>
      </w:r>
    </w:p>
    <w:p w14:paraId="3C8AB34B" w14:textId="3A5531A8" w:rsidR="007B2762" w:rsidRPr="007B2762" w:rsidRDefault="007B2762" w:rsidP="00423F39">
      <w:r w:rsidRPr="007B2762">
        <w:t>This tool supports continuous improvement and alignment with expectations for mathematics teacher preparation across the K–12 spectrum.</w:t>
      </w:r>
    </w:p>
    <w:p w14:paraId="300D07E8" w14:textId="77777777" w:rsidR="002C5910" w:rsidRPr="00423F39" w:rsidRDefault="002C5910" w:rsidP="00423F39">
      <w:pPr>
        <w:pStyle w:val="Heading2"/>
      </w:pPr>
      <w:r w:rsidRPr="00423F39">
        <w:t>Domain 1: Understanding Mathematical Development</w:t>
      </w:r>
    </w:p>
    <w:tbl>
      <w:tblPr>
        <w:tblStyle w:val="DefaultEducation"/>
        <w:tblW w:w="10800" w:type="dxa"/>
        <w:tblLook w:val="04A0" w:firstRow="1" w:lastRow="0" w:firstColumn="1" w:lastColumn="0" w:noHBand="0" w:noVBand="1"/>
      </w:tblPr>
      <w:tblGrid>
        <w:gridCol w:w="7195"/>
        <w:gridCol w:w="1170"/>
        <w:gridCol w:w="1170"/>
        <w:gridCol w:w="1265"/>
      </w:tblGrid>
      <w:tr w:rsidR="002C5910" w:rsidRPr="00423F39" w14:paraId="6248FAE0" w14:textId="77777777" w:rsidTr="00423F39">
        <w:trPr>
          <w:cnfStyle w:val="100000000000" w:firstRow="1" w:lastRow="0" w:firstColumn="0" w:lastColumn="0" w:oddVBand="0" w:evenVBand="0" w:oddHBand="0" w:evenHBand="0" w:firstRowFirstColumn="0" w:firstRowLastColumn="0" w:lastRowFirstColumn="0" w:lastRowLastColumn="0"/>
          <w:cantSplit/>
          <w:tblHeader/>
        </w:trPr>
        <w:tc>
          <w:tcPr>
            <w:tcW w:w="7195" w:type="dxa"/>
            <w:hideMark/>
          </w:tcPr>
          <w:p w14:paraId="7EF529F1" w14:textId="77777777" w:rsidR="002C5910" w:rsidRPr="00423F39" w:rsidRDefault="002C5910" w:rsidP="00423F39">
            <w:pPr>
              <w:pStyle w:val="TableHeading"/>
              <w:jc w:val="center"/>
              <w:rPr>
                <w:b/>
              </w:rPr>
            </w:pPr>
            <w:r w:rsidRPr="00423F39">
              <w:rPr>
                <w:b/>
              </w:rPr>
              <w:t>Criteria and</w:t>
            </w:r>
          </w:p>
          <w:p w14:paraId="1E56FA83" w14:textId="77777777" w:rsidR="002C5910" w:rsidRPr="00423F39" w:rsidRDefault="002C5910" w:rsidP="00423F39">
            <w:pPr>
              <w:pStyle w:val="TableHeading"/>
              <w:jc w:val="center"/>
              <w:rPr>
                <w:b/>
              </w:rPr>
            </w:pPr>
            <w:r w:rsidRPr="00423F39">
              <w:rPr>
                <w:b/>
              </w:rPr>
              <w:t>Key Performance Area</w:t>
            </w:r>
          </w:p>
        </w:tc>
        <w:tc>
          <w:tcPr>
            <w:tcW w:w="1170" w:type="dxa"/>
            <w:hideMark/>
          </w:tcPr>
          <w:p w14:paraId="09D54617" w14:textId="77777777" w:rsidR="002C5910" w:rsidRPr="00423F39" w:rsidRDefault="002C5910" w:rsidP="00423F39">
            <w:pPr>
              <w:pStyle w:val="TableHeading"/>
              <w:jc w:val="center"/>
              <w:rPr>
                <w:b/>
              </w:rPr>
            </w:pPr>
            <w:r w:rsidRPr="00423F39">
              <w:rPr>
                <w:b/>
              </w:rPr>
              <w:t>Course 1</w:t>
            </w:r>
          </w:p>
        </w:tc>
        <w:tc>
          <w:tcPr>
            <w:tcW w:w="1170" w:type="dxa"/>
            <w:hideMark/>
          </w:tcPr>
          <w:p w14:paraId="55EE934E" w14:textId="77777777" w:rsidR="002C5910" w:rsidRPr="00423F39" w:rsidRDefault="002C5910" w:rsidP="00423F39">
            <w:pPr>
              <w:pStyle w:val="TableHeading"/>
              <w:jc w:val="center"/>
              <w:rPr>
                <w:b/>
              </w:rPr>
            </w:pPr>
            <w:r w:rsidRPr="00423F39">
              <w:rPr>
                <w:b/>
              </w:rPr>
              <w:t>Course 2</w:t>
            </w:r>
          </w:p>
        </w:tc>
        <w:tc>
          <w:tcPr>
            <w:tcW w:w="1265" w:type="dxa"/>
            <w:hideMark/>
          </w:tcPr>
          <w:p w14:paraId="3C9604F5" w14:textId="77777777" w:rsidR="002C5910" w:rsidRPr="00423F39" w:rsidRDefault="002C5910" w:rsidP="00423F39">
            <w:pPr>
              <w:pStyle w:val="TableHeading"/>
              <w:jc w:val="center"/>
              <w:rPr>
                <w:b/>
              </w:rPr>
            </w:pPr>
            <w:r w:rsidRPr="00423F39">
              <w:rPr>
                <w:b/>
              </w:rPr>
              <w:t xml:space="preserve">Course </w:t>
            </w:r>
            <w:r w:rsidR="008A3EB4" w:rsidRPr="00423F39">
              <w:rPr>
                <w:b/>
              </w:rPr>
              <w:t>3</w:t>
            </w:r>
          </w:p>
        </w:tc>
      </w:tr>
      <w:tr w:rsidR="00423F39" w14:paraId="00362E4B" w14:textId="77777777" w:rsidTr="00423F39">
        <w:trPr>
          <w:cantSplit/>
        </w:trPr>
        <w:tc>
          <w:tcPr>
            <w:tcW w:w="7195" w:type="dxa"/>
            <w:vAlign w:val="top"/>
            <w:hideMark/>
          </w:tcPr>
          <w:p w14:paraId="24CD5558" w14:textId="5F8E542E" w:rsidR="00423F39" w:rsidRDefault="00423F39" w:rsidP="00423F39">
            <w:pPr>
              <w:pStyle w:val="NormalWeb"/>
              <w:spacing w:before="0" w:beforeAutospacing="0" w:after="0" w:afterAutospacing="0"/>
            </w:pPr>
            <w:r>
              <w:rPr>
                <w:rFonts w:ascii="Arial" w:hAnsi="Arial" w:cs="Arial"/>
                <w:color w:val="000000"/>
                <w:sz w:val="22"/>
                <w:szCs w:val="22"/>
              </w:rPr>
              <w:t>1.a.1 The candidate demonstrates the ability to set reasonable goals and expectations for learners at various stages of mathematical development, informed by the Iowa Academic Standards for Mathematics and the structure of high-quality instructional materials aligned to those standards.</w:t>
            </w:r>
          </w:p>
        </w:tc>
        <w:tc>
          <w:tcPr>
            <w:tcW w:w="1170" w:type="dxa"/>
            <w:vAlign w:val="top"/>
            <w:hideMark/>
          </w:tcPr>
          <w:p w14:paraId="744FCF02" w14:textId="77777777" w:rsidR="00423F39" w:rsidRDefault="00423F39" w:rsidP="00423F39">
            <w:pPr>
              <w:ind w:left="0"/>
            </w:pPr>
          </w:p>
        </w:tc>
        <w:tc>
          <w:tcPr>
            <w:tcW w:w="1170" w:type="dxa"/>
            <w:vAlign w:val="top"/>
            <w:hideMark/>
          </w:tcPr>
          <w:p w14:paraId="34C568DA" w14:textId="77777777" w:rsidR="00423F39" w:rsidRDefault="00423F39" w:rsidP="00423F39">
            <w:pPr>
              <w:ind w:left="0"/>
            </w:pPr>
          </w:p>
        </w:tc>
        <w:tc>
          <w:tcPr>
            <w:tcW w:w="1265" w:type="dxa"/>
            <w:vAlign w:val="top"/>
            <w:hideMark/>
          </w:tcPr>
          <w:p w14:paraId="1454470B" w14:textId="77777777" w:rsidR="00423F39" w:rsidRDefault="00423F39" w:rsidP="00423F39">
            <w:pPr>
              <w:ind w:left="0"/>
            </w:pPr>
          </w:p>
        </w:tc>
      </w:tr>
      <w:tr w:rsidR="00423F39" w14:paraId="16A91CA6" w14:textId="77777777" w:rsidTr="00423F39">
        <w:trPr>
          <w:cantSplit/>
        </w:trPr>
        <w:tc>
          <w:tcPr>
            <w:tcW w:w="7195" w:type="dxa"/>
            <w:vAlign w:val="top"/>
            <w:hideMark/>
          </w:tcPr>
          <w:p w14:paraId="399A96B0" w14:textId="2386ED8B" w:rsidR="00423F39" w:rsidRDefault="00423F39" w:rsidP="00423F39">
            <w:pPr>
              <w:pStyle w:val="NormalWeb"/>
              <w:spacing w:before="0" w:beforeAutospacing="0" w:after="0" w:afterAutospacing="0"/>
            </w:pPr>
            <w:r>
              <w:rPr>
                <w:rFonts w:ascii="Arial" w:hAnsi="Arial" w:cs="Arial"/>
                <w:color w:val="000000"/>
                <w:sz w:val="22"/>
                <w:szCs w:val="22"/>
              </w:rPr>
              <w:t>1.a.2 The candidate demonstrates an understanding of how students construct mathematical knowledge by developing conceptual understanding, procedural fluency, and application, emphasizing fluency through strategic reasoning and metacognition rather than speed or rote memorization.</w:t>
            </w:r>
          </w:p>
        </w:tc>
        <w:tc>
          <w:tcPr>
            <w:tcW w:w="1170" w:type="dxa"/>
            <w:vAlign w:val="top"/>
            <w:hideMark/>
          </w:tcPr>
          <w:p w14:paraId="7A93B48E" w14:textId="77777777" w:rsidR="00423F39" w:rsidRDefault="00423F39" w:rsidP="00423F39">
            <w:pPr>
              <w:ind w:left="0"/>
            </w:pPr>
          </w:p>
        </w:tc>
        <w:tc>
          <w:tcPr>
            <w:tcW w:w="1170" w:type="dxa"/>
            <w:vAlign w:val="top"/>
            <w:hideMark/>
          </w:tcPr>
          <w:p w14:paraId="0F8292EA" w14:textId="77777777" w:rsidR="00423F39" w:rsidRDefault="00423F39" w:rsidP="00423F39">
            <w:pPr>
              <w:ind w:left="0"/>
            </w:pPr>
          </w:p>
        </w:tc>
        <w:tc>
          <w:tcPr>
            <w:tcW w:w="1265" w:type="dxa"/>
            <w:vAlign w:val="top"/>
            <w:hideMark/>
          </w:tcPr>
          <w:p w14:paraId="1F4AE111" w14:textId="77777777" w:rsidR="00423F39" w:rsidRDefault="00423F39" w:rsidP="00423F39">
            <w:pPr>
              <w:ind w:left="0"/>
            </w:pPr>
          </w:p>
        </w:tc>
      </w:tr>
      <w:tr w:rsidR="00423F39" w14:paraId="7580DD1F" w14:textId="77777777" w:rsidTr="00423F39">
        <w:trPr>
          <w:cantSplit/>
        </w:trPr>
        <w:tc>
          <w:tcPr>
            <w:tcW w:w="7195" w:type="dxa"/>
            <w:vAlign w:val="top"/>
            <w:hideMark/>
          </w:tcPr>
          <w:p w14:paraId="70BCCD1D" w14:textId="7B65BB3A" w:rsidR="00423F39" w:rsidRDefault="00423F39" w:rsidP="00423F39">
            <w:pPr>
              <w:pStyle w:val="NormalWeb"/>
              <w:spacing w:before="0" w:beforeAutospacing="0" w:after="0" w:afterAutospacing="0"/>
            </w:pPr>
            <w:r>
              <w:rPr>
                <w:rFonts w:ascii="Arial" w:hAnsi="Arial" w:cs="Arial"/>
                <w:color w:val="000000"/>
                <w:sz w:val="22"/>
                <w:szCs w:val="22"/>
              </w:rPr>
              <w:t>1.a.3.a. For K-6</w:t>
            </w:r>
          </w:p>
          <w:p w14:paraId="1615D650" w14:textId="77777777" w:rsidR="00423F39" w:rsidRDefault="00423F39" w:rsidP="00423F39">
            <w:pPr>
              <w:pStyle w:val="NormalWeb"/>
              <w:spacing w:before="0" w:beforeAutospacing="0" w:after="0" w:afterAutospacing="0"/>
            </w:pPr>
            <w:r>
              <w:rPr>
                <w:rFonts w:ascii="Arial" w:hAnsi="Arial" w:cs="Arial"/>
                <w:color w:val="000000"/>
                <w:sz w:val="22"/>
                <w:szCs w:val="22"/>
              </w:rPr>
              <w:t>The candidate demonstrates awareness of key learning progressions in K–6 mathematics that build number sense, including subitizing, cardinality, object and verbal counting, spatial relationships, benchmark numbers, and part–part–whole reasoning.</w:t>
            </w:r>
          </w:p>
          <w:p w14:paraId="5ECB6971" w14:textId="2C197B98" w:rsidR="00423F39" w:rsidRDefault="00423F39" w:rsidP="00423F39">
            <w:pPr>
              <w:pStyle w:val="NormalWeb"/>
              <w:spacing w:before="0" w:beforeAutospacing="0" w:after="0" w:afterAutospacing="0"/>
            </w:pPr>
            <w:r>
              <w:rPr>
                <w:rFonts w:ascii="Arial" w:hAnsi="Arial" w:cs="Arial"/>
                <w:color w:val="000000"/>
                <w:sz w:val="22"/>
                <w:szCs w:val="22"/>
              </w:rPr>
              <w:t>1.a.3.b. For 6-12</w:t>
            </w:r>
          </w:p>
          <w:p w14:paraId="3C98FE99" w14:textId="77777777" w:rsidR="00423F39" w:rsidRDefault="00423F39" w:rsidP="00423F39">
            <w:pPr>
              <w:pStyle w:val="NormalWeb"/>
              <w:spacing w:before="0" w:beforeAutospacing="0" w:after="0" w:afterAutospacing="0"/>
            </w:pPr>
            <w:r>
              <w:rPr>
                <w:rFonts w:ascii="Arial" w:hAnsi="Arial" w:cs="Arial"/>
                <w:color w:val="000000"/>
                <w:sz w:val="22"/>
                <w:szCs w:val="22"/>
              </w:rPr>
              <w:t>The candidate demonstrates awareness of key learning progressions in grades 6–12 that build number and algebraic reasoning, including rational numbers, proportional relationships, expressions and equations, functions, and the structure of the real number system.</w:t>
            </w:r>
          </w:p>
        </w:tc>
        <w:tc>
          <w:tcPr>
            <w:tcW w:w="1170" w:type="dxa"/>
            <w:vAlign w:val="top"/>
            <w:hideMark/>
          </w:tcPr>
          <w:p w14:paraId="546C18A9" w14:textId="77777777" w:rsidR="00423F39" w:rsidRDefault="00423F39" w:rsidP="00423F39">
            <w:pPr>
              <w:ind w:left="0"/>
            </w:pPr>
          </w:p>
        </w:tc>
        <w:tc>
          <w:tcPr>
            <w:tcW w:w="1170" w:type="dxa"/>
            <w:vAlign w:val="top"/>
            <w:hideMark/>
          </w:tcPr>
          <w:p w14:paraId="51FAE682" w14:textId="77777777" w:rsidR="00423F39" w:rsidRDefault="00423F39" w:rsidP="00423F39">
            <w:pPr>
              <w:ind w:left="0"/>
            </w:pPr>
          </w:p>
        </w:tc>
        <w:tc>
          <w:tcPr>
            <w:tcW w:w="1265" w:type="dxa"/>
            <w:vAlign w:val="top"/>
            <w:hideMark/>
          </w:tcPr>
          <w:p w14:paraId="2169DE46" w14:textId="77777777" w:rsidR="00423F39" w:rsidRDefault="00423F39" w:rsidP="00423F39">
            <w:pPr>
              <w:ind w:left="0"/>
            </w:pPr>
          </w:p>
        </w:tc>
      </w:tr>
      <w:tr w:rsidR="00423F39" w14:paraId="27DFB51E" w14:textId="77777777" w:rsidTr="00423F39">
        <w:trPr>
          <w:cantSplit/>
        </w:trPr>
        <w:tc>
          <w:tcPr>
            <w:tcW w:w="7195" w:type="dxa"/>
            <w:vAlign w:val="top"/>
            <w:hideMark/>
          </w:tcPr>
          <w:p w14:paraId="6BAFE937" w14:textId="4BEEBD88" w:rsidR="00423F39" w:rsidRDefault="00423F39" w:rsidP="00423F39">
            <w:pPr>
              <w:pStyle w:val="NormalWeb"/>
              <w:spacing w:before="0" w:beforeAutospacing="0" w:after="0" w:afterAutospacing="0"/>
            </w:pPr>
            <w:r>
              <w:rPr>
                <w:rFonts w:ascii="Arial" w:hAnsi="Arial" w:cs="Arial"/>
                <w:color w:val="000000"/>
                <w:sz w:val="22"/>
                <w:szCs w:val="22"/>
              </w:rPr>
              <w:t>1.b Assessment of Content Knowledge</w:t>
            </w:r>
          </w:p>
        </w:tc>
        <w:tc>
          <w:tcPr>
            <w:tcW w:w="1170" w:type="dxa"/>
            <w:vAlign w:val="top"/>
            <w:hideMark/>
          </w:tcPr>
          <w:p w14:paraId="5692E607" w14:textId="77777777" w:rsidR="00423F39" w:rsidRDefault="00423F39" w:rsidP="00423F39">
            <w:pPr>
              <w:ind w:left="0"/>
            </w:pPr>
          </w:p>
        </w:tc>
        <w:tc>
          <w:tcPr>
            <w:tcW w:w="1170" w:type="dxa"/>
            <w:vAlign w:val="top"/>
            <w:hideMark/>
          </w:tcPr>
          <w:p w14:paraId="5C8F8EE8" w14:textId="77777777" w:rsidR="00423F39" w:rsidRDefault="00423F39" w:rsidP="00423F39">
            <w:pPr>
              <w:ind w:left="0"/>
            </w:pPr>
          </w:p>
        </w:tc>
        <w:tc>
          <w:tcPr>
            <w:tcW w:w="1265" w:type="dxa"/>
            <w:vAlign w:val="top"/>
            <w:hideMark/>
          </w:tcPr>
          <w:p w14:paraId="0A6A377F" w14:textId="77777777" w:rsidR="00423F39" w:rsidRDefault="00423F39" w:rsidP="00423F39">
            <w:pPr>
              <w:ind w:left="0"/>
            </w:pPr>
          </w:p>
        </w:tc>
      </w:tr>
      <w:tr w:rsidR="00423F39" w14:paraId="654C21B8" w14:textId="77777777" w:rsidTr="00E72E6D">
        <w:trPr>
          <w:cantSplit/>
          <w:trHeight w:val="373"/>
        </w:trPr>
        <w:tc>
          <w:tcPr>
            <w:tcW w:w="7195" w:type="dxa"/>
            <w:vAlign w:val="top"/>
            <w:hideMark/>
          </w:tcPr>
          <w:p w14:paraId="4C33F94B" w14:textId="20E9D5B6" w:rsidR="00423F39" w:rsidRDefault="00423F39" w:rsidP="00423F39">
            <w:pPr>
              <w:pStyle w:val="NormalWeb"/>
              <w:spacing w:before="0" w:beforeAutospacing="0" w:after="0" w:afterAutospacing="0"/>
            </w:pPr>
            <w:r>
              <w:rPr>
                <w:rFonts w:ascii="Arial" w:hAnsi="Arial" w:cs="Arial"/>
                <w:color w:val="000000"/>
                <w:sz w:val="22"/>
                <w:szCs w:val="22"/>
              </w:rPr>
              <w:t>1.c Assessment of Application (practicum, curriculum development)</w:t>
            </w:r>
          </w:p>
        </w:tc>
        <w:tc>
          <w:tcPr>
            <w:tcW w:w="1170" w:type="dxa"/>
            <w:vAlign w:val="top"/>
            <w:hideMark/>
          </w:tcPr>
          <w:p w14:paraId="00EF9156" w14:textId="77777777" w:rsidR="00423F39" w:rsidRDefault="00423F39" w:rsidP="00423F39">
            <w:pPr>
              <w:ind w:left="0"/>
            </w:pPr>
          </w:p>
        </w:tc>
        <w:tc>
          <w:tcPr>
            <w:tcW w:w="1170" w:type="dxa"/>
            <w:vAlign w:val="top"/>
            <w:hideMark/>
          </w:tcPr>
          <w:p w14:paraId="01A7309E" w14:textId="77777777" w:rsidR="00423F39" w:rsidRDefault="00423F39" w:rsidP="00423F39">
            <w:pPr>
              <w:ind w:left="0"/>
            </w:pPr>
          </w:p>
        </w:tc>
        <w:tc>
          <w:tcPr>
            <w:tcW w:w="1265" w:type="dxa"/>
            <w:vAlign w:val="top"/>
            <w:hideMark/>
          </w:tcPr>
          <w:p w14:paraId="0600BC80" w14:textId="77777777" w:rsidR="00423F39" w:rsidRDefault="00423F39" w:rsidP="00423F39">
            <w:pPr>
              <w:ind w:left="0"/>
            </w:pPr>
          </w:p>
        </w:tc>
      </w:tr>
    </w:tbl>
    <w:p w14:paraId="5AB17AB7" w14:textId="77777777" w:rsidR="00BE3405" w:rsidRDefault="00BE3405" w:rsidP="00423F39">
      <w:r>
        <w:br w:type="page"/>
      </w:r>
    </w:p>
    <w:p w14:paraId="65BDAD26" w14:textId="2C6AFB88" w:rsidR="002C5910" w:rsidRDefault="002C5910" w:rsidP="00423F39">
      <w:pPr>
        <w:pStyle w:val="Heading2"/>
      </w:pPr>
      <w:r w:rsidRPr="00423F39">
        <w:lastRenderedPageBreak/>
        <w:t>Domain 2: Instructional Practices for Diverse Learners – “The Who”</w:t>
      </w:r>
    </w:p>
    <w:tbl>
      <w:tblPr>
        <w:tblStyle w:val="DefaultEducation"/>
        <w:tblW w:w="10800" w:type="dxa"/>
        <w:tblLook w:val="04A0" w:firstRow="1" w:lastRow="0" w:firstColumn="1" w:lastColumn="0" w:noHBand="0" w:noVBand="1"/>
      </w:tblPr>
      <w:tblGrid>
        <w:gridCol w:w="7195"/>
        <w:gridCol w:w="1170"/>
        <w:gridCol w:w="1170"/>
        <w:gridCol w:w="1265"/>
      </w:tblGrid>
      <w:tr w:rsidR="00423F39" w:rsidRPr="00423F39" w14:paraId="5A258D72" w14:textId="77777777" w:rsidTr="00B464E6">
        <w:trPr>
          <w:cnfStyle w:val="100000000000" w:firstRow="1" w:lastRow="0" w:firstColumn="0" w:lastColumn="0" w:oddVBand="0" w:evenVBand="0" w:oddHBand="0" w:evenHBand="0" w:firstRowFirstColumn="0" w:firstRowLastColumn="0" w:lastRowFirstColumn="0" w:lastRowLastColumn="0"/>
          <w:cantSplit/>
          <w:tblHeader/>
        </w:trPr>
        <w:tc>
          <w:tcPr>
            <w:tcW w:w="7195" w:type="dxa"/>
            <w:hideMark/>
          </w:tcPr>
          <w:p w14:paraId="1B678E5C" w14:textId="77777777" w:rsidR="00423F39" w:rsidRPr="00423F39" w:rsidRDefault="00423F39" w:rsidP="00B464E6">
            <w:pPr>
              <w:pStyle w:val="TableHeading"/>
              <w:jc w:val="center"/>
              <w:rPr>
                <w:b/>
              </w:rPr>
            </w:pPr>
            <w:r w:rsidRPr="00423F39">
              <w:rPr>
                <w:b/>
              </w:rPr>
              <w:t>Criteria and</w:t>
            </w:r>
          </w:p>
          <w:p w14:paraId="6ECD3297" w14:textId="77777777" w:rsidR="00423F39" w:rsidRPr="00423F39" w:rsidRDefault="00423F39" w:rsidP="00B464E6">
            <w:pPr>
              <w:pStyle w:val="TableHeading"/>
              <w:jc w:val="center"/>
              <w:rPr>
                <w:b/>
              </w:rPr>
            </w:pPr>
            <w:r w:rsidRPr="00423F39">
              <w:rPr>
                <w:b/>
              </w:rPr>
              <w:t>Key Performance Area</w:t>
            </w:r>
          </w:p>
        </w:tc>
        <w:tc>
          <w:tcPr>
            <w:tcW w:w="1170" w:type="dxa"/>
            <w:hideMark/>
          </w:tcPr>
          <w:p w14:paraId="511ABC85" w14:textId="77777777" w:rsidR="00423F39" w:rsidRPr="00423F39" w:rsidRDefault="00423F39" w:rsidP="00B464E6">
            <w:pPr>
              <w:pStyle w:val="TableHeading"/>
              <w:jc w:val="center"/>
              <w:rPr>
                <w:b/>
              </w:rPr>
            </w:pPr>
            <w:r w:rsidRPr="00423F39">
              <w:rPr>
                <w:b/>
              </w:rPr>
              <w:t>Course 1</w:t>
            </w:r>
          </w:p>
        </w:tc>
        <w:tc>
          <w:tcPr>
            <w:tcW w:w="1170" w:type="dxa"/>
            <w:hideMark/>
          </w:tcPr>
          <w:p w14:paraId="09BF294A" w14:textId="77777777" w:rsidR="00423F39" w:rsidRPr="00423F39" w:rsidRDefault="00423F39" w:rsidP="00B464E6">
            <w:pPr>
              <w:pStyle w:val="TableHeading"/>
              <w:jc w:val="center"/>
              <w:rPr>
                <w:b/>
              </w:rPr>
            </w:pPr>
            <w:r w:rsidRPr="00423F39">
              <w:rPr>
                <w:b/>
              </w:rPr>
              <w:t>Course 2</w:t>
            </w:r>
          </w:p>
        </w:tc>
        <w:tc>
          <w:tcPr>
            <w:tcW w:w="1265" w:type="dxa"/>
            <w:hideMark/>
          </w:tcPr>
          <w:p w14:paraId="059FAFBD" w14:textId="77777777" w:rsidR="00423F39" w:rsidRPr="00423F39" w:rsidRDefault="00423F39" w:rsidP="00B464E6">
            <w:pPr>
              <w:pStyle w:val="TableHeading"/>
              <w:jc w:val="center"/>
              <w:rPr>
                <w:b/>
              </w:rPr>
            </w:pPr>
            <w:r w:rsidRPr="00423F39">
              <w:rPr>
                <w:b/>
              </w:rPr>
              <w:t>Course 3</w:t>
            </w:r>
          </w:p>
        </w:tc>
      </w:tr>
      <w:tr w:rsidR="00423F39" w14:paraId="348A9C30" w14:textId="77777777" w:rsidTr="00B464E6">
        <w:trPr>
          <w:cantSplit/>
        </w:trPr>
        <w:tc>
          <w:tcPr>
            <w:tcW w:w="7195" w:type="dxa"/>
            <w:vAlign w:val="top"/>
          </w:tcPr>
          <w:p w14:paraId="1ED394D8" w14:textId="6829F180" w:rsidR="00423F39" w:rsidRDefault="00423F39" w:rsidP="00B464E6">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2.a.1 The candidate understands and responds to students' diverse cultural backgrounds, languages, identities, learner differences, and lived experiences that shape their mathematical thinking.</w:t>
            </w:r>
          </w:p>
        </w:tc>
        <w:tc>
          <w:tcPr>
            <w:tcW w:w="1170" w:type="dxa"/>
            <w:vAlign w:val="top"/>
          </w:tcPr>
          <w:p w14:paraId="3601DCEA" w14:textId="77777777" w:rsidR="00423F39" w:rsidRDefault="00423F39" w:rsidP="00B464E6">
            <w:pPr>
              <w:ind w:left="0"/>
            </w:pPr>
          </w:p>
        </w:tc>
        <w:tc>
          <w:tcPr>
            <w:tcW w:w="1170" w:type="dxa"/>
            <w:vAlign w:val="top"/>
          </w:tcPr>
          <w:p w14:paraId="0084CA90" w14:textId="77777777" w:rsidR="00423F39" w:rsidRDefault="00423F39" w:rsidP="00B464E6">
            <w:pPr>
              <w:ind w:left="0"/>
            </w:pPr>
          </w:p>
        </w:tc>
        <w:tc>
          <w:tcPr>
            <w:tcW w:w="1265" w:type="dxa"/>
            <w:vAlign w:val="top"/>
          </w:tcPr>
          <w:p w14:paraId="015BA9B8" w14:textId="77777777" w:rsidR="00423F39" w:rsidRDefault="00423F39" w:rsidP="00B464E6">
            <w:pPr>
              <w:ind w:left="0"/>
            </w:pPr>
          </w:p>
        </w:tc>
      </w:tr>
      <w:tr w:rsidR="00423F39" w14:paraId="78A7293B" w14:textId="77777777" w:rsidTr="00B464E6">
        <w:trPr>
          <w:cantSplit/>
        </w:trPr>
        <w:tc>
          <w:tcPr>
            <w:tcW w:w="7195" w:type="dxa"/>
            <w:vAlign w:val="top"/>
          </w:tcPr>
          <w:p w14:paraId="52E2F1CD" w14:textId="1A10FD3B" w:rsidR="00423F39" w:rsidRDefault="00423F39" w:rsidP="00423F3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2.a.2 The candidate integrates developmentally appropriate, evidence-based supports for students with disabilities and those identified as needing intervention in mathematics.</w:t>
            </w:r>
          </w:p>
        </w:tc>
        <w:tc>
          <w:tcPr>
            <w:tcW w:w="1170" w:type="dxa"/>
            <w:vAlign w:val="top"/>
          </w:tcPr>
          <w:p w14:paraId="67633171" w14:textId="77777777" w:rsidR="00423F39" w:rsidRDefault="00423F39" w:rsidP="00423F39">
            <w:pPr>
              <w:ind w:left="0"/>
            </w:pPr>
          </w:p>
        </w:tc>
        <w:tc>
          <w:tcPr>
            <w:tcW w:w="1170" w:type="dxa"/>
            <w:vAlign w:val="top"/>
          </w:tcPr>
          <w:p w14:paraId="636CB270" w14:textId="77777777" w:rsidR="00423F39" w:rsidRDefault="00423F39" w:rsidP="00423F39">
            <w:pPr>
              <w:ind w:left="0"/>
            </w:pPr>
          </w:p>
        </w:tc>
        <w:tc>
          <w:tcPr>
            <w:tcW w:w="1265" w:type="dxa"/>
            <w:vAlign w:val="top"/>
          </w:tcPr>
          <w:p w14:paraId="5C064C3A" w14:textId="77777777" w:rsidR="00423F39" w:rsidRDefault="00423F39" w:rsidP="00423F39">
            <w:pPr>
              <w:ind w:left="0"/>
            </w:pPr>
          </w:p>
        </w:tc>
      </w:tr>
      <w:tr w:rsidR="00423F39" w14:paraId="336E93DC" w14:textId="77777777" w:rsidTr="00B464E6">
        <w:trPr>
          <w:cantSplit/>
        </w:trPr>
        <w:tc>
          <w:tcPr>
            <w:tcW w:w="7195" w:type="dxa"/>
            <w:vAlign w:val="top"/>
          </w:tcPr>
          <w:p w14:paraId="25D585C0" w14:textId="6B844D75" w:rsidR="00423F39" w:rsidRDefault="00423F39" w:rsidP="00423F3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2.a.3 The candidate demonstrates a commitment to maintaining high expectations for all students.</w:t>
            </w:r>
          </w:p>
        </w:tc>
        <w:tc>
          <w:tcPr>
            <w:tcW w:w="1170" w:type="dxa"/>
            <w:vAlign w:val="top"/>
          </w:tcPr>
          <w:p w14:paraId="0B78DDDC" w14:textId="77777777" w:rsidR="00423F39" w:rsidRDefault="00423F39" w:rsidP="00423F39">
            <w:pPr>
              <w:ind w:left="0"/>
            </w:pPr>
          </w:p>
        </w:tc>
        <w:tc>
          <w:tcPr>
            <w:tcW w:w="1170" w:type="dxa"/>
            <w:vAlign w:val="top"/>
          </w:tcPr>
          <w:p w14:paraId="36E402DC" w14:textId="77777777" w:rsidR="00423F39" w:rsidRDefault="00423F39" w:rsidP="00423F39">
            <w:pPr>
              <w:ind w:left="0"/>
            </w:pPr>
          </w:p>
        </w:tc>
        <w:tc>
          <w:tcPr>
            <w:tcW w:w="1265" w:type="dxa"/>
            <w:vAlign w:val="top"/>
          </w:tcPr>
          <w:p w14:paraId="644E85C4" w14:textId="77777777" w:rsidR="00423F39" w:rsidRDefault="00423F39" w:rsidP="00423F39">
            <w:pPr>
              <w:ind w:left="0"/>
            </w:pPr>
          </w:p>
        </w:tc>
      </w:tr>
      <w:tr w:rsidR="00423F39" w14:paraId="56805E41" w14:textId="77777777" w:rsidTr="00B464E6">
        <w:trPr>
          <w:cantSplit/>
        </w:trPr>
        <w:tc>
          <w:tcPr>
            <w:tcW w:w="7195" w:type="dxa"/>
            <w:vAlign w:val="top"/>
          </w:tcPr>
          <w:p w14:paraId="4861BCC4" w14:textId="03289C07" w:rsidR="00423F39" w:rsidRDefault="00423F39" w:rsidP="00423F3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2.b Assessment of Content Knowledge</w:t>
            </w:r>
          </w:p>
        </w:tc>
        <w:tc>
          <w:tcPr>
            <w:tcW w:w="1170" w:type="dxa"/>
            <w:vAlign w:val="top"/>
          </w:tcPr>
          <w:p w14:paraId="689373CE" w14:textId="77777777" w:rsidR="00423F39" w:rsidRDefault="00423F39" w:rsidP="00423F39">
            <w:pPr>
              <w:ind w:left="0"/>
            </w:pPr>
          </w:p>
        </w:tc>
        <w:tc>
          <w:tcPr>
            <w:tcW w:w="1170" w:type="dxa"/>
            <w:vAlign w:val="top"/>
          </w:tcPr>
          <w:p w14:paraId="7BCEA669" w14:textId="77777777" w:rsidR="00423F39" w:rsidRDefault="00423F39" w:rsidP="00423F39">
            <w:pPr>
              <w:ind w:left="0"/>
            </w:pPr>
          </w:p>
        </w:tc>
        <w:tc>
          <w:tcPr>
            <w:tcW w:w="1265" w:type="dxa"/>
            <w:vAlign w:val="top"/>
          </w:tcPr>
          <w:p w14:paraId="41D2FEA9" w14:textId="77777777" w:rsidR="00423F39" w:rsidRDefault="00423F39" w:rsidP="00423F39">
            <w:pPr>
              <w:ind w:left="0"/>
            </w:pPr>
          </w:p>
        </w:tc>
      </w:tr>
      <w:tr w:rsidR="00423F39" w14:paraId="10BEB502" w14:textId="77777777" w:rsidTr="00E64853">
        <w:trPr>
          <w:cantSplit/>
          <w:trHeight w:val="319"/>
        </w:trPr>
        <w:tc>
          <w:tcPr>
            <w:tcW w:w="7195" w:type="dxa"/>
            <w:vAlign w:val="top"/>
          </w:tcPr>
          <w:p w14:paraId="466184FB" w14:textId="47D48444" w:rsidR="00423F39" w:rsidRDefault="00423F39" w:rsidP="00423F3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2.c Assessment of Application (practicum, curriculum development)</w:t>
            </w:r>
          </w:p>
        </w:tc>
        <w:tc>
          <w:tcPr>
            <w:tcW w:w="1170" w:type="dxa"/>
            <w:vAlign w:val="top"/>
          </w:tcPr>
          <w:p w14:paraId="26377D9B" w14:textId="77777777" w:rsidR="00423F39" w:rsidRDefault="00423F39" w:rsidP="00423F39">
            <w:pPr>
              <w:ind w:left="0"/>
            </w:pPr>
          </w:p>
        </w:tc>
        <w:tc>
          <w:tcPr>
            <w:tcW w:w="1170" w:type="dxa"/>
            <w:vAlign w:val="top"/>
          </w:tcPr>
          <w:p w14:paraId="39DA76C8" w14:textId="77777777" w:rsidR="00423F39" w:rsidRDefault="00423F39" w:rsidP="00423F39">
            <w:pPr>
              <w:ind w:left="0"/>
            </w:pPr>
          </w:p>
        </w:tc>
        <w:tc>
          <w:tcPr>
            <w:tcW w:w="1265" w:type="dxa"/>
            <w:vAlign w:val="top"/>
          </w:tcPr>
          <w:p w14:paraId="0D0B9779" w14:textId="77777777" w:rsidR="00423F39" w:rsidRDefault="00423F39" w:rsidP="00423F39">
            <w:pPr>
              <w:ind w:left="0"/>
            </w:pPr>
          </w:p>
        </w:tc>
      </w:tr>
    </w:tbl>
    <w:p w14:paraId="4BEEE4DA" w14:textId="1331C0E0" w:rsidR="00423F39" w:rsidRDefault="00423F39" w:rsidP="00423F39"/>
    <w:p w14:paraId="76C0FD48" w14:textId="77777777" w:rsidR="00423F39" w:rsidRDefault="00423F39">
      <w:pPr>
        <w:ind w:left="0"/>
      </w:pPr>
      <w:r>
        <w:br w:type="page"/>
      </w:r>
    </w:p>
    <w:p w14:paraId="56C44E39" w14:textId="665136C2" w:rsidR="002C5910" w:rsidRDefault="002C5910" w:rsidP="00423F39">
      <w:pPr>
        <w:pStyle w:val="Heading2"/>
      </w:pPr>
      <w:r w:rsidRPr="00423F39">
        <w:lastRenderedPageBreak/>
        <w:t>Domain 3: Structured Mathematics Instruction – "The How"</w:t>
      </w:r>
    </w:p>
    <w:tbl>
      <w:tblPr>
        <w:tblStyle w:val="DefaultEducation"/>
        <w:tblW w:w="10800" w:type="dxa"/>
        <w:tblLook w:val="04A0" w:firstRow="1" w:lastRow="0" w:firstColumn="1" w:lastColumn="0" w:noHBand="0" w:noVBand="1"/>
      </w:tblPr>
      <w:tblGrid>
        <w:gridCol w:w="7195"/>
        <w:gridCol w:w="1170"/>
        <w:gridCol w:w="1170"/>
        <w:gridCol w:w="1265"/>
      </w:tblGrid>
      <w:tr w:rsidR="00423F39" w:rsidRPr="00423F39" w14:paraId="13C40A13" w14:textId="77777777" w:rsidTr="00B464E6">
        <w:trPr>
          <w:cnfStyle w:val="100000000000" w:firstRow="1" w:lastRow="0" w:firstColumn="0" w:lastColumn="0" w:oddVBand="0" w:evenVBand="0" w:oddHBand="0" w:evenHBand="0" w:firstRowFirstColumn="0" w:firstRowLastColumn="0" w:lastRowFirstColumn="0" w:lastRowLastColumn="0"/>
          <w:cantSplit/>
          <w:tblHeader/>
        </w:trPr>
        <w:tc>
          <w:tcPr>
            <w:tcW w:w="7195" w:type="dxa"/>
            <w:hideMark/>
          </w:tcPr>
          <w:p w14:paraId="0FE344A3" w14:textId="77777777" w:rsidR="00423F39" w:rsidRPr="00423F39" w:rsidRDefault="00423F39" w:rsidP="00B464E6">
            <w:pPr>
              <w:pStyle w:val="TableHeading"/>
              <w:jc w:val="center"/>
              <w:rPr>
                <w:b/>
              </w:rPr>
            </w:pPr>
            <w:r w:rsidRPr="00423F39">
              <w:rPr>
                <w:b/>
              </w:rPr>
              <w:t>Criteria and</w:t>
            </w:r>
          </w:p>
          <w:p w14:paraId="1CCCD4B1" w14:textId="77777777" w:rsidR="00423F39" w:rsidRPr="00423F39" w:rsidRDefault="00423F39" w:rsidP="00B464E6">
            <w:pPr>
              <w:pStyle w:val="TableHeading"/>
              <w:jc w:val="center"/>
              <w:rPr>
                <w:b/>
              </w:rPr>
            </w:pPr>
            <w:r w:rsidRPr="00423F39">
              <w:rPr>
                <w:b/>
              </w:rPr>
              <w:t>Key Performance Area</w:t>
            </w:r>
          </w:p>
        </w:tc>
        <w:tc>
          <w:tcPr>
            <w:tcW w:w="1170" w:type="dxa"/>
            <w:hideMark/>
          </w:tcPr>
          <w:p w14:paraId="79085BF8" w14:textId="77777777" w:rsidR="00423F39" w:rsidRPr="00423F39" w:rsidRDefault="00423F39" w:rsidP="00B464E6">
            <w:pPr>
              <w:pStyle w:val="TableHeading"/>
              <w:jc w:val="center"/>
              <w:rPr>
                <w:b/>
              </w:rPr>
            </w:pPr>
            <w:r w:rsidRPr="00423F39">
              <w:rPr>
                <w:b/>
              </w:rPr>
              <w:t>Course 1</w:t>
            </w:r>
          </w:p>
        </w:tc>
        <w:tc>
          <w:tcPr>
            <w:tcW w:w="1170" w:type="dxa"/>
            <w:hideMark/>
          </w:tcPr>
          <w:p w14:paraId="50BD38D9" w14:textId="77777777" w:rsidR="00423F39" w:rsidRPr="00423F39" w:rsidRDefault="00423F39" w:rsidP="00B464E6">
            <w:pPr>
              <w:pStyle w:val="TableHeading"/>
              <w:jc w:val="center"/>
              <w:rPr>
                <w:b/>
              </w:rPr>
            </w:pPr>
            <w:r w:rsidRPr="00423F39">
              <w:rPr>
                <w:b/>
              </w:rPr>
              <w:t>Course 2</w:t>
            </w:r>
          </w:p>
        </w:tc>
        <w:tc>
          <w:tcPr>
            <w:tcW w:w="1265" w:type="dxa"/>
            <w:hideMark/>
          </w:tcPr>
          <w:p w14:paraId="063AAB23" w14:textId="77777777" w:rsidR="00423F39" w:rsidRPr="00423F39" w:rsidRDefault="00423F39" w:rsidP="00B464E6">
            <w:pPr>
              <w:pStyle w:val="TableHeading"/>
              <w:jc w:val="center"/>
              <w:rPr>
                <w:b/>
              </w:rPr>
            </w:pPr>
            <w:r w:rsidRPr="00423F39">
              <w:rPr>
                <w:b/>
              </w:rPr>
              <w:t>Course 3</w:t>
            </w:r>
          </w:p>
        </w:tc>
      </w:tr>
      <w:tr w:rsidR="00423F39" w14:paraId="46F56214" w14:textId="77777777" w:rsidTr="00B464E6">
        <w:trPr>
          <w:cantSplit/>
        </w:trPr>
        <w:tc>
          <w:tcPr>
            <w:tcW w:w="7195" w:type="dxa"/>
            <w:vAlign w:val="top"/>
          </w:tcPr>
          <w:p w14:paraId="16058292" w14:textId="3B4131F6" w:rsidR="00423F39" w:rsidRDefault="00423F39" w:rsidP="00B464E6">
            <w:pPr>
              <w:pStyle w:val="NormalWeb"/>
              <w:spacing w:before="0" w:beforeAutospacing="0" w:after="0" w:afterAutospacing="0"/>
              <w:rPr>
                <w:rFonts w:ascii="Arial" w:hAnsi="Arial" w:cs="Arial"/>
                <w:color w:val="000000"/>
                <w:sz w:val="22"/>
                <w:szCs w:val="22"/>
              </w:rPr>
            </w:pPr>
            <w:r w:rsidRPr="00423F39">
              <w:rPr>
                <w:rFonts w:ascii="Arial" w:hAnsi="Arial" w:cs="Arial"/>
                <w:color w:val="000000"/>
                <w:sz w:val="22"/>
                <w:szCs w:val="22"/>
              </w:rPr>
              <w:t>3.1 The candidate establishes mathematics goals to focus learning. Effective teaching of mathematics establishes clear goals for the mathematics that students are learning, situates these goals within learning progressions, and uses them to guide instructional decisions.</w:t>
            </w:r>
          </w:p>
        </w:tc>
        <w:tc>
          <w:tcPr>
            <w:tcW w:w="1170" w:type="dxa"/>
            <w:vAlign w:val="top"/>
          </w:tcPr>
          <w:p w14:paraId="6C6EC7D8" w14:textId="77777777" w:rsidR="00423F39" w:rsidRDefault="00423F39" w:rsidP="00B464E6">
            <w:pPr>
              <w:ind w:left="0"/>
            </w:pPr>
          </w:p>
        </w:tc>
        <w:tc>
          <w:tcPr>
            <w:tcW w:w="1170" w:type="dxa"/>
            <w:vAlign w:val="top"/>
          </w:tcPr>
          <w:p w14:paraId="70F59B22" w14:textId="77777777" w:rsidR="00423F39" w:rsidRDefault="00423F39" w:rsidP="00B464E6">
            <w:pPr>
              <w:ind w:left="0"/>
            </w:pPr>
          </w:p>
        </w:tc>
        <w:tc>
          <w:tcPr>
            <w:tcW w:w="1265" w:type="dxa"/>
            <w:vAlign w:val="top"/>
          </w:tcPr>
          <w:p w14:paraId="194D5653" w14:textId="77777777" w:rsidR="00423F39" w:rsidRDefault="00423F39" w:rsidP="00B464E6">
            <w:pPr>
              <w:ind w:left="0"/>
            </w:pPr>
          </w:p>
        </w:tc>
      </w:tr>
      <w:tr w:rsidR="00423F39" w14:paraId="65B73FFD" w14:textId="77777777" w:rsidTr="00B464E6">
        <w:trPr>
          <w:cantSplit/>
        </w:trPr>
        <w:tc>
          <w:tcPr>
            <w:tcW w:w="7195" w:type="dxa"/>
            <w:vAlign w:val="top"/>
          </w:tcPr>
          <w:p w14:paraId="2491B522" w14:textId="3503E00C" w:rsidR="00423F39" w:rsidRDefault="00423F39" w:rsidP="00B464E6">
            <w:pPr>
              <w:pStyle w:val="NormalWeb"/>
              <w:spacing w:before="0" w:beforeAutospacing="0" w:after="0" w:afterAutospacing="0"/>
              <w:rPr>
                <w:rFonts w:ascii="Arial" w:hAnsi="Arial" w:cs="Arial"/>
                <w:color w:val="000000"/>
                <w:sz w:val="22"/>
                <w:szCs w:val="22"/>
              </w:rPr>
            </w:pPr>
            <w:r w:rsidRPr="00423F39">
              <w:rPr>
                <w:rFonts w:ascii="Arial" w:hAnsi="Arial" w:cs="Arial"/>
                <w:color w:val="000000"/>
                <w:sz w:val="22"/>
                <w:szCs w:val="22"/>
              </w:rPr>
              <w:t>3.2 The candidate implements tasks that promote mathematical reasoning and problem solving, providing multiple entry points and supporting varied solution strategies.</w:t>
            </w:r>
          </w:p>
        </w:tc>
        <w:tc>
          <w:tcPr>
            <w:tcW w:w="1170" w:type="dxa"/>
            <w:vAlign w:val="top"/>
          </w:tcPr>
          <w:p w14:paraId="04DEA8F8" w14:textId="77777777" w:rsidR="00423F39" w:rsidRDefault="00423F39" w:rsidP="00B464E6">
            <w:pPr>
              <w:ind w:left="0"/>
            </w:pPr>
          </w:p>
        </w:tc>
        <w:tc>
          <w:tcPr>
            <w:tcW w:w="1170" w:type="dxa"/>
            <w:vAlign w:val="top"/>
          </w:tcPr>
          <w:p w14:paraId="6D04D220" w14:textId="77777777" w:rsidR="00423F39" w:rsidRDefault="00423F39" w:rsidP="00B464E6">
            <w:pPr>
              <w:ind w:left="0"/>
            </w:pPr>
          </w:p>
        </w:tc>
        <w:tc>
          <w:tcPr>
            <w:tcW w:w="1265" w:type="dxa"/>
            <w:vAlign w:val="top"/>
          </w:tcPr>
          <w:p w14:paraId="6CFDF545" w14:textId="77777777" w:rsidR="00423F39" w:rsidRDefault="00423F39" w:rsidP="00B464E6">
            <w:pPr>
              <w:ind w:left="0"/>
            </w:pPr>
          </w:p>
        </w:tc>
      </w:tr>
      <w:tr w:rsidR="00423F39" w14:paraId="373EDD44" w14:textId="77777777" w:rsidTr="00B464E6">
        <w:trPr>
          <w:cantSplit/>
        </w:trPr>
        <w:tc>
          <w:tcPr>
            <w:tcW w:w="7195" w:type="dxa"/>
            <w:vAlign w:val="top"/>
          </w:tcPr>
          <w:p w14:paraId="245C2020" w14:textId="1B8F0223" w:rsidR="00423F39" w:rsidRDefault="00423F39" w:rsidP="00B464E6">
            <w:pPr>
              <w:pStyle w:val="NormalWeb"/>
              <w:spacing w:before="0" w:beforeAutospacing="0" w:after="0" w:afterAutospacing="0"/>
              <w:rPr>
                <w:rFonts w:ascii="Arial" w:hAnsi="Arial" w:cs="Arial"/>
                <w:color w:val="000000"/>
                <w:sz w:val="22"/>
                <w:szCs w:val="22"/>
              </w:rPr>
            </w:pPr>
            <w:r w:rsidRPr="00423F39">
              <w:rPr>
                <w:rFonts w:ascii="Arial" w:hAnsi="Arial" w:cs="Arial"/>
                <w:color w:val="000000"/>
                <w:sz w:val="22"/>
                <w:szCs w:val="22"/>
              </w:rPr>
              <w:t>3.3 The candidate engages students in using and connecting mathematical representations to deepen their understanding of mathematical concepts and procedures, and to support problem-solving.</w:t>
            </w:r>
          </w:p>
        </w:tc>
        <w:tc>
          <w:tcPr>
            <w:tcW w:w="1170" w:type="dxa"/>
            <w:vAlign w:val="top"/>
          </w:tcPr>
          <w:p w14:paraId="7D49332E" w14:textId="77777777" w:rsidR="00423F39" w:rsidRDefault="00423F39" w:rsidP="00B464E6">
            <w:pPr>
              <w:ind w:left="0"/>
            </w:pPr>
          </w:p>
        </w:tc>
        <w:tc>
          <w:tcPr>
            <w:tcW w:w="1170" w:type="dxa"/>
            <w:vAlign w:val="top"/>
          </w:tcPr>
          <w:p w14:paraId="7C3D5774" w14:textId="77777777" w:rsidR="00423F39" w:rsidRDefault="00423F39" w:rsidP="00B464E6">
            <w:pPr>
              <w:ind w:left="0"/>
            </w:pPr>
          </w:p>
        </w:tc>
        <w:tc>
          <w:tcPr>
            <w:tcW w:w="1265" w:type="dxa"/>
            <w:vAlign w:val="top"/>
          </w:tcPr>
          <w:p w14:paraId="58510522" w14:textId="77777777" w:rsidR="00423F39" w:rsidRDefault="00423F39" w:rsidP="00B464E6">
            <w:pPr>
              <w:ind w:left="0"/>
            </w:pPr>
          </w:p>
        </w:tc>
      </w:tr>
      <w:tr w:rsidR="00423F39" w14:paraId="28F12023" w14:textId="77777777" w:rsidTr="00B464E6">
        <w:trPr>
          <w:cantSplit/>
        </w:trPr>
        <w:tc>
          <w:tcPr>
            <w:tcW w:w="7195" w:type="dxa"/>
            <w:vAlign w:val="top"/>
          </w:tcPr>
          <w:p w14:paraId="1CACC8C8" w14:textId="35AE2A97" w:rsidR="00423F39" w:rsidRDefault="00423F39" w:rsidP="00B464E6">
            <w:pPr>
              <w:pStyle w:val="NormalWeb"/>
              <w:spacing w:before="0" w:beforeAutospacing="0" w:after="0" w:afterAutospacing="0"/>
              <w:rPr>
                <w:rFonts w:ascii="Arial" w:hAnsi="Arial" w:cs="Arial"/>
                <w:color w:val="000000"/>
                <w:sz w:val="22"/>
                <w:szCs w:val="22"/>
              </w:rPr>
            </w:pPr>
            <w:r w:rsidRPr="00423F39">
              <w:rPr>
                <w:rFonts w:ascii="Arial" w:hAnsi="Arial" w:cs="Arial"/>
                <w:color w:val="000000"/>
                <w:sz w:val="22"/>
                <w:szCs w:val="22"/>
              </w:rPr>
              <w:t>3.4 The candidate facilitates meaningful mathematical discourse that enables students to build shared understanding by analyzing and comparing their mathematical approaches and reasoning.</w:t>
            </w:r>
          </w:p>
        </w:tc>
        <w:tc>
          <w:tcPr>
            <w:tcW w:w="1170" w:type="dxa"/>
            <w:vAlign w:val="top"/>
          </w:tcPr>
          <w:p w14:paraId="2B9F6BBC" w14:textId="77777777" w:rsidR="00423F39" w:rsidRDefault="00423F39" w:rsidP="00B464E6">
            <w:pPr>
              <w:ind w:left="0"/>
            </w:pPr>
          </w:p>
        </w:tc>
        <w:tc>
          <w:tcPr>
            <w:tcW w:w="1170" w:type="dxa"/>
            <w:vAlign w:val="top"/>
          </w:tcPr>
          <w:p w14:paraId="1DF4E54A" w14:textId="77777777" w:rsidR="00423F39" w:rsidRDefault="00423F39" w:rsidP="00B464E6">
            <w:pPr>
              <w:ind w:left="0"/>
            </w:pPr>
          </w:p>
        </w:tc>
        <w:tc>
          <w:tcPr>
            <w:tcW w:w="1265" w:type="dxa"/>
            <w:vAlign w:val="top"/>
          </w:tcPr>
          <w:p w14:paraId="570D0120" w14:textId="77777777" w:rsidR="00423F39" w:rsidRDefault="00423F39" w:rsidP="00B464E6">
            <w:pPr>
              <w:ind w:left="0"/>
            </w:pPr>
          </w:p>
        </w:tc>
      </w:tr>
      <w:tr w:rsidR="00423F39" w14:paraId="02EE78E6" w14:textId="77777777" w:rsidTr="00B464E6">
        <w:trPr>
          <w:cantSplit/>
        </w:trPr>
        <w:tc>
          <w:tcPr>
            <w:tcW w:w="7195" w:type="dxa"/>
            <w:vAlign w:val="top"/>
          </w:tcPr>
          <w:p w14:paraId="7488C8EE" w14:textId="4263E468" w:rsidR="00423F39" w:rsidRDefault="00423F39" w:rsidP="00B464E6">
            <w:pPr>
              <w:pStyle w:val="NormalWeb"/>
              <w:spacing w:before="0" w:beforeAutospacing="0" w:after="0" w:afterAutospacing="0"/>
              <w:rPr>
                <w:rFonts w:ascii="Arial" w:hAnsi="Arial" w:cs="Arial"/>
                <w:color w:val="000000"/>
                <w:sz w:val="22"/>
                <w:szCs w:val="22"/>
              </w:rPr>
            </w:pPr>
            <w:r w:rsidRPr="00423F39">
              <w:rPr>
                <w:rFonts w:ascii="Arial" w:hAnsi="Arial" w:cs="Arial"/>
                <w:color w:val="000000"/>
                <w:sz w:val="22"/>
                <w:szCs w:val="22"/>
              </w:rPr>
              <w:t>3.5 The candidate poses purposeful questions to assess and advance students’ reasoning and sense-making about key mathematical ideas and relationships.</w:t>
            </w:r>
          </w:p>
        </w:tc>
        <w:tc>
          <w:tcPr>
            <w:tcW w:w="1170" w:type="dxa"/>
            <w:vAlign w:val="top"/>
          </w:tcPr>
          <w:p w14:paraId="3E9154E9" w14:textId="77777777" w:rsidR="00423F39" w:rsidRDefault="00423F39" w:rsidP="00B464E6">
            <w:pPr>
              <w:ind w:left="0"/>
            </w:pPr>
          </w:p>
        </w:tc>
        <w:tc>
          <w:tcPr>
            <w:tcW w:w="1170" w:type="dxa"/>
            <w:vAlign w:val="top"/>
          </w:tcPr>
          <w:p w14:paraId="6873519F" w14:textId="77777777" w:rsidR="00423F39" w:rsidRDefault="00423F39" w:rsidP="00B464E6">
            <w:pPr>
              <w:ind w:left="0"/>
            </w:pPr>
          </w:p>
        </w:tc>
        <w:tc>
          <w:tcPr>
            <w:tcW w:w="1265" w:type="dxa"/>
            <w:vAlign w:val="top"/>
          </w:tcPr>
          <w:p w14:paraId="2B0F3EF1" w14:textId="77777777" w:rsidR="00423F39" w:rsidRDefault="00423F39" w:rsidP="00B464E6">
            <w:pPr>
              <w:ind w:left="0"/>
            </w:pPr>
          </w:p>
        </w:tc>
      </w:tr>
      <w:tr w:rsidR="00423F39" w14:paraId="6B6B02DA" w14:textId="77777777" w:rsidTr="00B464E6">
        <w:trPr>
          <w:cantSplit/>
        </w:trPr>
        <w:tc>
          <w:tcPr>
            <w:tcW w:w="7195" w:type="dxa"/>
            <w:vAlign w:val="top"/>
          </w:tcPr>
          <w:p w14:paraId="255A9F8D" w14:textId="22041FD7" w:rsidR="00423F39" w:rsidRDefault="00423F39" w:rsidP="00B464E6">
            <w:pPr>
              <w:pStyle w:val="NormalWeb"/>
              <w:spacing w:before="0" w:beforeAutospacing="0" w:after="0" w:afterAutospacing="0"/>
              <w:rPr>
                <w:rFonts w:ascii="Arial" w:hAnsi="Arial" w:cs="Arial"/>
                <w:color w:val="000000"/>
                <w:sz w:val="22"/>
                <w:szCs w:val="22"/>
              </w:rPr>
            </w:pPr>
            <w:r w:rsidRPr="00423F39">
              <w:rPr>
                <w:rFonts w:ascii="Arial" w:hAnsi="Arial" w:cs="Arial"/>
                <w:color w:val="000000"/>
                <w:sz w:val="22"/>
                <w:szCs w:val="22"/>
              </w:rPr>
              <w:t>3.6 The candidate builds procedural fluency from conceptual understanding, enabling students to use procedures flexibly and skillfully as they solve mathematical and real-world problems.</w:t>
            </w:r>
          </w:p>
        </w:tc>
        <w:tc>
          <w:tcPr>
            <w:tcW w:w="1170" w:type="dxa"/>
            <w:vAlign w:val="top"/>
          </w:tcPr>
          <w:p w14:paraId="20A7A6C3" w14:textId="77777777" w:rsidR="00423F39" w:rsidRDefault="00423F39" w:rsidP="00B464E6">
            <w:pPr>
              <w:ind w:left="0"/>
            </w:pPr>
          </w:p>
        </w:tc>
        <w:tc>
          <w:tcPr>
            <w:tcW w:w="1170" w:type="dxa"/>
            <w:vAlign w:val="top"/>
          </w:tcPr>
          <w:p w14:paraId="5AB545B4" w14:textId="77777777" w:rsidR="00423F39" w:rsidRDefault="00423F39" w:rsidP="00B464E6">
            <w:pPr>
              <w:ind w:left="0"/>
            </w:pPr>
          </w:p>
        </w:tc>
        <w:tc>
          <w:tcPr>
            <w:tcW w:w="1265" w:type="dxa"/>
            <w:vAlign w:val="top"/>
          </w:tcPr>
          <w:p w14:paraId="773FF370" w14:textId="77777777" w:rsidR="00423F39" w:rsidRDefault="00423F39" w:rsidP="00B464E6">
            <w:pPr>
              <w:ind w:left="0"/>
            </w:pPr>
          </w:p>
        </w:tc>
      </w:tr>
      <w:tr w:rsidR="00423F39" w14:paraId="24B55207" w14:textId="77777777" w:rsidTr="00B464E6">
        <w:trPr>
          <w:cantSplit/>
        </w:trPr>
        <w:tc>
          <w:tcPr>
            <w:tcW w:w="7195" w:type="dxa"/>
            <w:vAlign w:val="top"/>
          </w:tcPr>
          <w:p w14:paraId="2C1CBC0E" w14:textId="4FEF16DD" w:rsidR="00423F39" w:rsidRDefault="00423F39" w:rsidP="00B464E6">
            <w:pPr>
              <w:pStyle w:val="NormalWeb"/>
              <w:spacing w:before="0" w:beforeAutospacing="0" w:after="0" w:afterAutospacing="0"/>
              <w:rPr>
                <w:rFonts w:ascii="Arial" w:hAnsi="Arial" w:cs="Arial"/>
                <w:color w:val="000000"/>
                <w:sz w:val="22"/>
                <w:szCs w:val="22"/>
              </w:rPr>
            </w:pPr>
            <w:r w:rsidRPr="00423F39">
              <w:rPr>
                <w:rFonts w:ascii="Arial" w:hAnsi="Arial" w:cs="Arial"/>
                <w:color w:val="000000"/>
                <w:sz w:val="22"/>
                <w:szCs w:val="22"/>
              </w:rPr>
              <w:t>3.7 The candidate supports productive struggle in learning mathematics by providing opportunities and scaffolds that encourage students to persevere as they make sense of mathematical ideas and relationships.</w:t>
            </w:r>
          </w:p>
        </w:tc>
        <w:tc>
          <w:tcPr>
            <w:tcW w:w="1170" w:type="dxa"/>
            <w:vAlign w:val="top"/>
          </w:tcPr>
          <w:p w14:paraId="65672E97" w14:textId="77777777" w:rsidR="00423F39" w:rsidRDefault="00423F39" w:rsidP="00B464E6">
            <w:pPr>
              <w:ind w:left="0"/>
            </w:pPr>
          </w:p>
        </w:tc>
        <w:tc>
          <w:tcPr>
            <w:tcW w:w="1170" w:type="dxa"/>
            <w:vAlign w:val="top"/>
          </w:tcPr>
          <w:p w14:paraId="427337F6" w14:textId="77777777" w:rsidR="00423F39" w:rsidRDefault="00423F39" w:rsidP="00B464E6">
            <w:pPr>
              <w:ind w:left="0"/>
            </w:pPr>
          </w:p>
        </w:tc>
        <w:tc>
          <w:tcPr>
            <w:tcW w:w="1265" w:type="dxa"/>
            <w:vAlign w:val="top"/>
          </w:tcPr>
          <w:p w14:paraId="5936C1CA" w14:textId="77777777" w:rsidR="00423F39" w:rsidRDefault="00423F39" w:rsidP="00B464E6">
            <w:pPr>
              <w:ind w:left="0"/>
            </w:pPr>
          </w:p>
        </w:tc>
      </w:tr>
      <w:tr w:rsidR="00423F39" w14:paraId="5361E5A4" w14:textId="77777777" w:rsidTr="00B464E6">
        <w:trPr>
          <w:cantSplit/>
        </w:trPr>
        <w:tc>
          <w:tcPr>
            <w:tcW w:w="7195" w:type="dxa"/>
            <w:vAlign w:val="top"/>
          </w:tcPr>
          <w:p w14:paraId="507813F6" w14:textId="4840213E" w:rsidR="00423F39" w:rsidRDefault="00423F39" w:rsidP="00B464E6">
            <w:pPr>
              <w:pStyle w:val="NormalWeb"/>
              <w:spacing w:before="0" w:beforeAutospacing="0" w:after="0" w:afterAutospacing="0"/>
              <w:rPr>
                <w:rFonts w:ascii="Arial" w:hAnsi="Arial" w:cs="Arial"/>
                <w:color w:val="000000"/>
                <w:sz w:val="22"/>
                <w:szCs w:val="22"/>
              </w:rPr>
            </w:pPr>
            <w:r w:rsidRPr="00423F39">
              <w:rPr>
                <w:rFonts w:ascii="Arial" w:hAnsi="Arial" w:cs="Arial"/>
                <w:color w:val="000000"/>
                <w:sz w:val="22"/>
                <w:szCs w:val="22"/>
              </w:rPr>
              <w:t>3.8 The candidate elicits and uses evidence of student thinking to assess mathematical understanding and adapt instruction to support and extend learning.</w:t>
            </w:r>
          </w:p>
        </w:tc>
        <w:tc>
          <w:tcPr>
            <w:tcW w:w="1170" w:type="dxa"/>
            <w:vAlign w:val="top"/>
          </w:tcPr>
          <w:p w14:paraId="29A2B403" w14:textId="77777777" w:rsidR="00423F39" w:rsidRDefault="00423F39" w:rsidP="00B464E6">
            <w:pPr>
              <w:ind w:left="0"/>
            </w:pPr>
          </w:p>
        </w:tc>
        <w:tc>
          <w:tcPr>
            <w:tcW w:w="1170" w:type="dxa"/>
            <w:vAlign w:val="top"/>
          </w:tcPr>
          <w:p w14:paraId="61E0A34A" w14:textId="77777777" w:rsidR="00423F39" w:rsidRDefault="00423F39" w:rsidP="00B464E6">
            <w:pPr>
              <w:ind w:left="0"/>
            </w:pPr>
          </w:p>
        </w:tc>
        <w:tc>
          <w:tcPr>
            <w:tcW w:w="1265" w:type="dxa"/>
            <w:vAlign w:val="top"/>
          </w:tcPr>
          <w:p w14:paraId="01E543AD" w14:textId="77777777" w:rsidR="00423F39" w:rsidRDefault="00423F39" w:rsidP="00B464E6">
            <w:pPr>
              <w:ind w:left="0"/>
            </w:pPr>
          </w:p>
        </w:tc>
      </w:tr>
      <w:tr w:rsidR="00423F39" w14:paraId="45D36601" w14:textId="77777777" w:rsidTr="00B464E6">
        <w:trPr>
          <w:cantSplit/>
        </w:trPr>
        <w:tc>
          <w:tcPr>
            <w:tcW w:w="7195" w:type="dxa"/>
            <w:vAlign w:val="top"/>
          </w:tcPr>
          <w:p w14:paraId="56608085" w14:textId="3625B708" w:rsidR="00423F39" w:rsidRDefault="00423F39" w:rsidP="00B464E6">
            <w:pPr>
              <w:pStyle w:val="NormalWeb"/>
              <w:spacing w:before="0" w:beforeAutospacing="0" w:after="0" w:afterAutospacing="0"/>
              <w:rPr>
                <w:rFonts w:ascii="Arial" w:hAnsi="Arial" w:cs="Arial"/>
                <w:color w:val="000000"/>
                <w:sz w:val="22"/>
                <w:szCs w:val="22"/>
              </w:rPr>
            </w:pPr>
            <w:r w:rsidRPr="00423F39">
              <w:rPr>
                <w:rFonts w:ascii="Arial" w:hAnsi="Arial" w:cs="Arial"/>
                <w:color w:val="000000"/>
                <w:sz w:val="22"/>
                <w:szCs w:val="22"/>
              </w:rPr>
              <w:t>3- Assessment of Content Knowledge</w:t>
            </w:r>
          </w:p>
        </w:tc>
        <w:tc>
          <w:tcPr>
            <w:tcW w:w="1170" w:type="dxa"/>
            <w:vAlign w:val="top"/>
          </w:tcPr>
          <w:p w14:paraId="4F2F48C1" w14:textId="77777777" w:rsidR="00423F39" w:rsidRDefault="00423F39" w:rsidP="00B464E6">
            <w:pPr>
              <w:ind w:left="0"/>
            </w:pPr>
          </w:p>
        </w:tc>
        <w:tc>
          <w:tcPr>
            <w:tcW w:w="1170" w:type="dxa"/>
            <w:vAlign w:val="top"/>
          </w:tcPr>
          <w:p w14:paraId="6406F72B" w14:textId="77777777" w:rsidR="00423F39" w:rsidRDefault="00423F39" w:rsidP="00B464E6">
            <w:pPr>
              <w:ind w:left="0"/>
            </w:pPr>
          </w:p>
        </w:tc>
        <w:tc>
          <w:tcPr>
            <w:tcW w:w="1265" w:type="dxa"/>
            <w:vAlign w:val="top"/>
          </w:tcPr>
          <w:p w14:paraId="7A450B67" w14:textId="77777777" w:rsidR="00423F39" w:rsidRDefault="00423F39" w:rsidP="00B464E6">
            <w:pPr>
              <w:ind w:left="0"/>
            </w:pPr>
          </w:p>
        </w:tc>
      </w:tr>
      <w:tr w:rsidR="00423F39" w14:paraId="7E3F962A" w14:textId="77777777" w:rsidTr="00E64853">
        <w:trPr>
          <w:cantSplit/>
          <w:trHeight w:val="337"/>
        </w:trPr>
        <w:tc>
          <w:tcPr>
            <w:tcW w:w="7195" w:type="dxa"/>
            <w:vAlign w:val="top"/>
          </w:tcPr>
          <w:p w14:paraId="080B9F56" w14:textId="700C8B26" w:rsidR="00423F39" w:rsidRDefault="00423F39" w:rsidP="00B464E6">
            <w:pPr>
              <w:pStyle w:val="NormalWeb"/>
              <w:spacing w:before="0" w:beforeAutospacing="0" w:after="0" w:afterAutospacing="0"/>
              <w:rPr>
                <w:rFonts w:ascii="Arial" w:hAnsi="Arial" w:cs="Arial"/>
                <w:color w:val="000000"/>
                <w:sz w:val="22"/>
                <w:szCs w:val="22"/>
              </w:rPr>
            </w:pPr>
            <w:r w:rsidRPr="00423F39">
              <w:rPr>
                <w:rFonts w:ascii="Arial" w:hAnsi="Arial" w:cs="Arial"/>
                <w:color w:val="000000"/>
                <w:sz w:val="22"/>
                <w:szCs w:val="22"/>
              </w:rPr>
              <w:t>3- Assessment of Application (practicum, curriculum development)</w:t>
            </w:r>
          </w:p>
        </w:tc>
        <w:tc>
          <w:tcPr>
            <w:tcW w:w="1170" w:type="dxa"/>
            <w:vAlign w:val="top"/>
          </w:tcPr>
          <w:p w14:paraId="40EC693A" w14:textId="77777777" w:rsidR="00423F39" w:rsidRDefault="00423F39" w:rsidP="00B464E6">
            <w:pPr>
              <w:ind w:left="0"/>
            </w:pPr>
          </w:p>
        </w:tc>
        <w:tc>
          <w:tcPr>
            <w:tcW w:w="1170" w:type="dxa"/>
            <w:vAlign w:val="top"/>
          </w:tcPr>
          <w:p w14:paraId="488DBEBF" w14:textId="77777777" w:rsidR="00423F39" w:rsidRDefault="00423F39" w:rsidP="00B464E6">
            <w:pPr>
              <w:ind w:left="0"/>
            </w:pPr>
          </w:p>
        </w:tc>
        <w:tc>
          <w:tcPr>
            <w:tcW w:w="1265" w:type="dxa"/>
            <w:vAlign w:val="top"/>
          </w:tcPr>
          <w:p w14:paraId="00DB75B7" w14:textId="77777777" w:rsidR="00423F39" w:rsidRDefault="00423F39" w:rsidP="00B464E6">
            <w:pPr>
              <w:ind w:left="0"/>
            </w:pPr>
          </w:p>
        </w:tc>
      </w:tr>
    </w:tbl>
    <w:p w14:paraId="54AE9C86" w14:textId="49B797AC" w:rsidR="00423F39" w:rsidRDefault="00423F39" w:rsidP="00423F39"/>
    <w:p w14:paraId="234276E8" w14:textId="7E8D8944" w:rsidR="00E72E6D" w:rsidRDefault="00E72E6D">
      <w:pPr>
        <w:ind w:left="0"/>
      </w:pPr>
      <w:r>
        <w:br w:type="page"/>
      </w:r>
    </w:p>
    <w:p w14:paraId="0AA41800" w14:textId="0A53EB2A" w:rsidR="00BE3405" w:rsidRDefault="00E72E6D" w:rsidP="00E72E6D">
      <w:pPr>
        <w:pStyle w:val="Heading2"/>
      </w:pPr>
      <w:r w:rsidRPr="00E72E6D">
        <w:lastRenderedPageBreak/>
        <w:t>Domain 4: Structured Mathematics Instruction – “The What”</w:t>
      </w:r>
    </w:p>
    <w:tbl>
      <w:tblPr>
        <w:tblStyle w:val="DefaultEducation"/>
        <w:tblW w:w="10800" w:type="dxa"/>
        <w:tblLook w:val="04A0" w:firstRow="1" w:lastRow="0" w:firstColumn="1" w:lastColumn="0" w:noHBand="0" w:noVBand="1"/>
      </w:tblPr>
      <w:tblGrid>
        <w:gridCol w:w="7195"/>
        <w:gridCol w:w="1170"/>
        <w:gridCol w:w="1170"/>
        <w:gridCol w:w="1265"/>
      </w:tblGrid>
      <w:tr w:rsidR="00E72E6D" w:rsidRPr="00423F39" w14:paraId="3A5728DB" w14:textId="77777777" w:rsidTr="00B464E6">
        <w:trPr>
          <w:cnfStyle w:val="100000000000" w:firstRow="1" w:lastRow="0" w:firstColumn="0" w:lastColumn="0" w:oddVBand="0" w:evenVBand="0" w:oddHBand="0" w:evenHBand="0" w:firstRowFirstColumn="0" w:firstRowLastColumn="0" w:lastRowFirstColumn="0" w:lastRowLastColumn="0"/>
          <w:cantSplit/>
          <w:tblHeader/>
        </w:trPr>
        <w:tc>
          <w:tcPr>
            <w:tcW w:w="7195" w:type="dxa"/>
            <w:hideMark/>
          </w:tcPr>
          <w:p w14:paraId="49DDF1FB" w14:textId="77777777" w:rsidR="00E72E6D" w:rsidRPr="00423F39" w:rsidRDefault="00E72E6D" w:rsidP="00B464E6">
            <w:pPr>
              <w:pStyle w:val="TableHeading"/>
              <w:jc w:val="center"/>
              <w:rPr>
                <w:b/>
              </w:rPr>
            </w:pPr>
            <w:r w:rsidRPr="00423F39">
              <w:rPr>
                <w:b/>
              </w:rPr>
              <w:t>Criteria and</w:t>
            </w:r>
          </w:p>
          <w:p w14:paraId="629919C1" w14:textId="77777777" w:rsidR="00E72E6D" w:rsidRPr="00423F39" w:rsidRDefault="00E72E6D" w:rsidP="00B464E6">
            <w:pPr>
              <w:pStyle w:val="TableHeading"/>
              <w:jc w:val="center"/>
              <w:rPr>
                <w:b/>
              </w:rPr>
            </w:pPr>
            <w:r w:rsidRPr="00423F39">
              <w:rPr>
                <w:b/>
              </w:rPr>
              <w:t>Key Performance Area</w:t>
            </w:r>
          </w:p>
        </w:tc>
        <w:tc>
          <w:tcPr>
            <w:tcW w:w="1170" w:type="dxa"/>
            <w:hideMark/>
          </w:tcPr>
          <w:p w14:paraId="267DDD5A" w14:textId="77777777" w:rsidR="00E72E6D" w:rsidRPr="00423F39" w:rsidRDefault="00E72E6D" w:rsidP="00B464E6">
            <w:pPr>
              <w:pStyle w:val="TableHeading"/>
              <w:jc w:val="center"/>
              <w:rPr>
                <w:b/>
              </w:rPr>
            </w:pPr>
            <w:r w:rsidRPr="00423F39">
              <w:rPr>
                <w:b/>
              </w:rPr>
              <w:t>Course 1</w:t>
            </w:r>
          </w:p>
        </w:tc>
        <w:tc>
          <w:tcPr>
            <w:tcW w:w="1170" w:type="dxa"/>
            <w:hideMark/>
          </w:tcPr>
          <w:p w14:paraId="45A1902D" w14:textId="77777777" w:rsidR="00E72E6D" w:rsidRPr="00423F39" w:rsidRDefault="00E72E6D" w:rsidP="00B464E6">
            <w:pPr>
              <w:pStyle w:val="TableHeading"/>
              <w:jc w:val="center"/>
              <w:rPr>
                <w:b/>
              </w:rPr>
            </w:pPr>
            <w:r w:rsidRPr="00423F39">
              <w:rPr>
                <w:b/>
              </w:rPr>
              <w:t>Course 2</w:t>
            </w:r>
          </w:p>
        </w:tc>
        <w:tc>
          <w:tcPr>
            <w:tcW w:w="1265" w:type="dxa"/>
            <w:hideMark/>
          </w:tcPr>
          <w:p w14:paraId="6224D6F4" w14:textId="77777777" w:rsidR="00E72E6D" w:rsidRPr="00423F39" w:rsidRDefault="00E72E6D" w:rsidP="00B464E6">
            <w:pPr>
              <w:pStyle w:val="TableHeading"/>
              <w:jc w:val="center"/>
              <w:rPr>
                <w:b/>
              </w:rPr>
            </w:pPr>
            <w:r w:rsidRPr="00423F39">
              <w:rPr>
                <w:b/>
              </w:rPr>
              <w:t>Course 3</w:t>
            </w:r>
          </w:p>
        </w:tc>
      </w:tr>
      <w:tr w:rsidR="00E72E6D" w14:paraId="77425CFC" w14:textId="77777777" w:rsidTr="00B464E6">
        <w:trPr>
          <w:cantSplit/>
        </w:trPr>
        <w:tc>
          <w:tcPr>
            <w:tcW w:w="7195" w:type="dxa"/>
            <w:vAlign w:val="top"/>
          </w:tcPr>
          <w:p w14:paraId="74F0947B" w14:textId="1090B4E9" w:rsidR="00E72E6D" w:rsidRPr="00423F39" w:rsidRDefault="00E72E6D" w:rsidP="00B464E6">
            <w:pPr>
              <w:pStyle w:val="NormalWeb"/>
              <w:spacing w:before="0" w:beforeAutospacing="0" w:after="0" w:afterAutospacing="0"/>
              <w:rPr>
                <w:rFonts w:ascii="Arial" w:hAnsi="Arial" w:cs="Arial"/>
                <w:color w:val="000000"/>
                <w:sz w:val="22"/>
                <w:szCs w:val="22"/>
              </w:rPr>
            </w:pPr>
            <w:r w:rsidRPr="00E72E6D">
              <w:rPr>
                <w:rFonts w:ascii="Arial" w:hAnsi="Arial" w:cs="Arial"/>
                <w:color w:val="000000"/>
                <w:sz w:val="22"/>
                <w:szCs w:val="22"/>
              </w:rPr>
              <w:t>4.a.1 The candidate uses learning and developmental progressions across K–12 to design instruction that is responsive to how students build an understanding of mathematical ideas, from foundational number sense to algebraic thinking, functions, and modeling.</w:t>
            </w:r>
          </w:p>
        </w:tc>
        <w:tc>
          <w:tcPr>
            <w:tcW w:w="1170" w:type="dxa"/>
            <w:vAlign w:val="top"/>
          </w:tcPr>
          <w:p w14:paraId="4C7D1DD5" w14:textId="77777777" w:rsidR="00E72E6D" w:rsidRDefault="00E72E6D" w:rsidP="00B464E6">
            <w:pPr>
              <w:ind w:left="0"/>
            </w:pPr>
          </w:p>
        </w:tc>
        <w:tc>
          <w:tcPr>
            <w:tcW w:w="1170" w:type="dxa"/>
            <w:vAlign w:val="top"/>
          </w:tcPr>
          <w:p w14:paraId="76EE44A0" w14:textId="77777777" w:rsidR="00E72E6D" w:rsidRDefault="00E72E6D" w:rsidP="00B464E6">
            <w:pPr>
              <w:ind w:left="0"/>
            </w:pPr>
          </w:p>
        </w:tc>
        <w:tc>
          <w:tcPr>
            <w:tcW w:w="1265" w:type="dxa"/>
            <w:vAlign w:val="top"/>
          </w:tcPr>
          <w:p w14:paraId="2DCB9C92" w14:textId="77777777" w:rsidR="00E72E6D" w:rsidRDefault="00E72E6D" w:rsidP="00B464E6">
            <w:pPr>
              <w:ind w:left="0"/>
            </w:pPr>
          </w:p>
        </w:tc>
      </w:tr>
      <w:tr w:rsidR="00E72E6D" w14:paraId="1D01D969" w14:textId="77777777" w:rsidTr="00B464E6">
        <w:trPr>
          <w:cantSplit/>
        </w:trPr>
        <w:tc>
          <w:tcPr>
            <w:tcW w:w="7195" w:type="dxa"/>
            <w:vAlign w:val="top"/>
          </w:tcPr>
          <w:p w14:paraId="4C6DC20F" w14:textId="25C8A07D" w:rsidR="00E72E6D" w:rsidRPr="00423F39" w:rsidRDefault="00E72E6D" w:rsidP="00B464E6">
            <w:pPr>
              <w:pStyle w:val="NormalWeb"/>
              <w:spacing w:before="0" w:beforeAutospacing="0" w:after="0" w:afterAutospacing="0"/>
              <w:rPr>
                <w:rFonts w:ascii="Arial" w:hAnsi="Arial" w:cs="Arial"/>
                <w:color w:val="000000"/>
                <w:sz w:val="22"/>
                <w:szCs w:val="22"/>
              </w:rPr>
            </w:pPr>
            <w:r w:rsidRPr="00E72E6D">
              <w:rPr>
                <w:rFonts w:ascii="Arial" w:hAnsi="Arial" w:cs="Arial"/>
                <w:color w:val="000000"/>
                <w:sz w:val="22"/>
                <w:szCs w:val="22"/>
              </w:rPr>
              <w:t>4.a.2 The candidate builds procedural fluency through flexible strategy use, guiding students to select, apply, and justify efficient strategies grounded in conceptual understanding, with an emphasis on reasoning rather than memorization.</w:t>
            </w:r>
          </w:p>
        </w:tc>
        <w:tc>
          <w:tcPr>
            <w:tcW w:w="1170" w:type="dxa"/>
            <w:vAlign w:val="top"/>
          </w:tcPr>
          <w:p w14:paraId="29BA9251" w14:textId="77777777" w:rsidR="00E72E6D" w:rsidRDefault="00E72E6D" w:rsidP="00B464E6">
            <w:pPr>
              <w:ind w:left="0"/>
            </w:pPr>
          </w:p>
        </w:tc>
        <w:tc>
          <w:tcPr>
            <w:tcW w:w="1170" w:type="dxa"/>
            <w:vAlign w:val="top"/>
          </w:tcPr>
          <w:p w14:paraId="758BF13C" w14:textId="77777777" w:rsidR="00E72E6D" w:rsidRDefault="00E72E6D" w:rsidP="00B464E6">
            <w:pPr>
              <w:ind w:left="0"/>
            </w:pPr>
          </w:p>
        </w:tc>
        <w:tc>
          <w:tcPr>
            <w:tcW w:w="1265" w:type="dxa"/>
            <w:vAlign w:val="top"/>
          </w:tcPr>
          <w:p w14:paraId="14B27366" w14:textId="77777777" w:rsidR="00E72E6D" w:rsidRDefault="00E72E6D" w:rsidP="00B464E6">
            <w:pPr>
              <w:ind w:left="0"/>
            </w:pPr>
          </w:p>
        </w:tc>
      </w:tr>
      <w:tr w:rsidR="00E72E6D" w14:paraId="46D2A9D6" w14:textId="77777777" w:rsidTr="00B464E6">
        <w:trPr>
          <w:cantSplit/>
        </w:trPr>
        <w:tc>
          <w:tcPr>
            <w:tcW w:w="7195" w:type="dxa"/>
            <w:vAlign w:val="top"/>
          </w:tcPr>
          <w:p w14:paraId="3439FBD4" w14:textId="4C1BDE73" w:rsidR="00E72E6D" w:rsidRPr="00423F39" w:rsidRDefault="00E72E6D" w:rsidP="00B464E6">
            <w:pPr>
              <w:pStyle w:val="NormalWeb"/>
              <w:spacing w:before="0" w:beforeAutospacing="0" w:after="0" w:afterAutospacing="0"/>
              <w:rPr>
                <w:rFonts w:ascii="Arial" w:hAnsi="Arial" w:cs="Arial"/>
                <w:color w:val="000000"/>
                <w:sz w:val="22"/>
                <w:szCs w:val="22"/>
              </w:rPr>
            </w:pPr>
            <w:r w:rsidRPr="00E72E6D">
              <w:rPr>
                <w:rFonts w:ascii="Arial" w:hAnsi="Arial" w:cs="Arial"/>
                <w:color w:val="000000"/>
                <w:sz w:val="22"/>
                <w:szCs w:val="22"/>
              </w:rPr>
              <w:t>4.a.3 The candidate anticipates and addresses common misconceptions by analyzing students’ reasoning, identifying their developmental stages, and using that information to inform targeted instructional decisions that advance mathematical understanding.</w:t>
            </w:r>
          </w:p>
        </w:tc>
        <w:tc>
          <w:tcPr>
            <w:tcW w:w="1170" w:type="dxa"/>
            <w:vAlign w:val="top"/>
          </w:tcPr>
          <w:p w14:paraId="2F7EBC79" w14:textId="77777777" w:rsidR="00E72E6D" w:rsidRDefault="00E72E6D" w:rsidP="00B464E6">
            <w:pPr>
              <w:ind w:left="0"/>
            </w:pPr>
          </w:p>
        </w:tc>
        <w:tc>
          <w:tcPr>
            <w:tcW w:w="1170" w:type="dxa"/>
            <w:vAlign w:val="top"/>
          </w:tcPr>
          <w:p w14:paraId="2C113A3C" w14:textId="77777777" w:rsidR="00E72E6D" w:rsidRDefault="00E72E6D" w:rsidP="00B464E6">
            <w:pPr>
              <w:ind w:left="0"/>
            </w:pPr>
          </w:p>
        </w:tc>
        <w:tc>
          <w:tcPr>
            <w:tcW w:w="1265" w:type="dxa"/>
            <w:vAlign w:val="top"/>
          </w:tcPr>
          <w:p w14:paraId="2BF3E631" w14:textId="77777777" w:rsidR="00E72E6D" w:rsidRDefault="00E72E6D" w:rsidP="00B464E6">
            <w:pPr>
              <w:ind w:left="0"/>
            </w:pPr>
          </w:p>
        </w:tc>
      </w:tr>
      <w:tr w:rsidR="00E72E6D" w14:paraId="2FAE4F04" w14:textId="77777777" w:rsidTr="00B464E6">
        <w:trPr>
          <w:cantSplit/>
        </w:trPr>
        <w:tc>
          <w:tcPr>
            <w:tcW w:w="7195" w:type="dxa"/>
            <w:vAlign w:val="top"/>
          </w:tcPr>
          <w:p w14:paraId="2893AC9C" w14:textId="6F712509" w:rsidR="00E72E6D" w:rsidRPr="00423F39" w:rsidRDefault="00E72E6D" w:rsidP="00B464E6">
            <w:pPr>
              <w:pStyle w:val="NormalWeb"/>
              <w:spacing w:before="0" w:beforeAutospacing="0" w:after="0" w:afterAutospacing="0"/>
              <w:rPr>
                <w:rFonts w:ascii="Arial" w:hAnsi="Arial" w:cs="Arial"/>
                <w:color w:val="000000"/>
                <w:sz w:val="22"/>
                <w:szCs w:val="22"/>
              </w:rPr>
            </w:pPr>
            <w:r w:rsidRPr="00E72E6D">
              <w:rPr>
                <w:rFonts w:ascii="Arial" w:hAnsi="Arial" w:cs="Arial"/>
                <w:color w:val="000000"/>
                <w:sz w:val="22"/>
                <w:szCs w:val="22"/>
              </w:rPr>
              <w:t>4.b- Assessment of Content Knowledge</w:t>
            </w:r>
          </w:p>
        </w:tc>
        <w:tc>
          <w:tcPr>
            <w:tcW w:w="1170" w:type="dxa"/>
            <w:vAlign w:val="top"/>
          </w:tcPr>
          <w:p w14:paraId="44519CF6" w14:textId="77777777" w:rsidR="00E72E6D" w:rsidRDefault="00E72E6D" w:rsidP="00B464E6">
            <w:pPr>
              <w:ind w:left="0"/>
            </w:pPr>
          </w:p>
        </w:tc>
        <w:tc>
          <w:tcPr>
            <w:tcW w:w="1170" w:type="dxa"/>
            <w:vAlign w:val="top"/>
          </w:tcPr>
          <w:p w14:paraId="09FF5D5E" w14:textId="77777777" w:rsidR="00E72E6D" w:rsidRDefault="00E72E6D" w:rsidP="00B464E6">
            <w:pPr>
              <w:ind w:left="0"/>
            </w:pPr>
          </w:p>
        </w:tc>
        <w:tc>
          <w:tcPr>
            <w:tcW w:w="1265" w:type="dxa"/>
            <w:vAlign w:val="top"/>
          </w:tcPr>
          <w:p w14:paraId="24AD8404" w14:textId="77777777" w:rsidR="00E72E6D" w:rsidRDefault="00E72E6D" w:rsidP="00B464E6">
            <w:pPr>
              <w:ind w:left="0"/>
            </w:pPr>
          </w:p>
        </w:tc>
      </w:tr>
      <w:tr w:rsidR="00E72E6D" w14:paraId="28880565" w14:textId="77777777" w:rsidTr="00B464E6">
        <w:trPr>
          <w:cantSplit/>
        </w:trPr>
        <w:tc>
          <w:tcPr>
            <w:tcW w:w="7195" w:type="dxa"/>
            <w:vAlign w:val="top"/>
          </w:tcPr>
          <w:p w14:paraId="3BA9AEA5" w14:textId="59437258" w:rsidR="00E72E6D" w:rsidRPr="00423F39" w:rsidRDefault="00E72E6D" w:rsidP="00B464E6">
            <w:pPr>
              <w:pStyle w:val="NormalWeb"/>
              <w:spacing w:before="0" w:beforeAutospacing="0" w:after="0" w:afterAutospacing="0"/>
              <w:rPr>
                <w:rFonts w:ascii="Arial" w:hAnsi="Arial" w:cs="Arial"/>
                <w:color w:val="000000"/>
                <w:sz w:val="22"/>
                <w:szCs w:val="22"/>
              </w:rPr>
            </w:pPr>
            <w:r w:rsidRPr="00E72E6D">
              <w:rPr>
                <w:rFonts w:ascii="Arial" w:hAnsi="Arial" w:cs="Arial"/>
                <w:color w:val="000000"/>
                <w:sz w:val="22"/>
                <w:szCs w:val="22"/>
              </w:rPr>
              <w:t>4.c</w:t>
            </w:r>
            <w:r>
              <w:rPr>
                <w:rFonts w:ascii="Arial" w:hAnsi="Arial" w:cs="Arial"/>
                <w:color w:val="000000"/>
                <w:sz w:val="22"/>
                <w:szCs w:val="22"/>
              </w:rPr>
              <w:t>-</w:t>
            </w:r>
            <w:r w:rsidRPr="00E72E6D">
              <w:rPr>
                <w:rFonts w:ascii="Arial" w:hAnsi="Arial" w:cs="Arial"/>
                <w:color w:val="000000"/>
                <w:sz w:val="22"/>
                <w:szCs w:val="22"/>
              </w:rPr>
              <w:t xml:space="preserve"> Assessment of Application (practicum, curriculum development)</w:t>
            </w:r>
          </w:p>
        </w:tc>
        <w:tc>
          <w:tcPr>
            <w:tcW w:w="1170" w:type="dxa"/>
            <w:vAlign w:val="top"/>
          </w:tcPr>
          <w:p w14:paraId="779DBB64" w14:textId="77777777" w:rsidR="00E72E6D" w:rsidRDefault="00E72E6D" w:rsidP="00B464E6">
            <w:pPr>
              <w:ind w:left="0"/>
            </w:pPr>
          </w:p>
        </w:tc>
        <w:tc>
          <w:tcPr>
            <w:tcW w:w="1170" w:type="dxa"/>
            <w:vAlign w:val="top"/>
          </w:tcPr>
          <w:p w14:paraId="792AE828" w14:textId="77777777" w:rsidR="00E72E6D" w:rsidRDefault="00E72E6D" w:rsidP="00B464E6">
            <w:pPr>
              <w:ind w:left="0"/>
            </w:pPr>
          </w:p>
        </w:tc>
        <w:tc>
          <w:tcPr>
            <w:tcW w:w="1265" w:type="dxa"/>
            <w:vAlign w:val="top"/>
          </w:tcPr>
          <w:p w14:paraId="7E19380B" w14:textId="77777777" w:rsidR="00E72E6D" w:rsidRDefault="00E72E6D" w:rsidP="00B464E6">
            <w:pPr>
              <w:ind w:left="0"/>
            </w:pPr>
          </w:p>
        </w:tc>
      </w:tr>
    </w:tbl>
    <w:p w14:paraId="01F5B2ED" w14:textId="77777777" w:rsidR="00E72E6D" w:rsidRDefault="00E72E6D" w:rsidP="00E72E6D"/>
    <w:p w14:paraId="5ECB612E" w14:textId="232D6E9C" w:rsidR="002C5910" w:rsidRDefault="002C5910" w:rsidP="00E72E6D">
      <w:pPr>
        <w:pStyle w:val="Heading2"/>
      </w:pPr>
      <w:r w:rsidRPr="00E72E6D">
        <w:t>Domain 5: Assessment Practices in Mathematics</w:t>
      </w:r>
    </w:p>
    <w:tbl>
      <w:tblPr>
        <w:tblStyle w:val="DefaultEducation"/>
        <w:tblW w:w="10800" w:type="dxa"/>
        <w:tblLook w:val="04A0" w:firstRow="1" w:lastRow="0" w:firstColumn="1" w:lastColumn="0" w:noHBand="0" w:noVBand="1"/>
      </w:tblPr>
      <w:tblGrid>
        <w:gridCol w:w="7195"/>
        <w:gridCol w:w="1170"/>
        <w:gridCol w:w="1170"/>
        <w:gridCol w:w="1265"/>
      </w:tblGrid>
      <w:tr w:rsidR="00E72E6D" w:rsidRPr="00423F39" w14:paraId="24966600" w14:textId="77777777" w:rsidTr="00B464E6">
        <w:trPr>
          <w:cnfStyle w:val="100000000000" w:firstRow="1" w:lastRow="0" w:firstColumn="0" w:lastColumn="0" w:oddVBand="0" w:evenVBand="0" w:oddHBand="0" w:evenHBand="0" w:firstRowFirstColumn="0" w:firstRowLastColumn="0" w:lastRowFirstColumn="0" w:lastRowLastColumn="0"/>
          <w:cantSplit/>
          <w:tblHeader/>
        </w:trPr>
        <w:tc>
          <w:tcPr>
            <w:tcW w:w="7195" w:type="dxa"/>
            <w:hideMark/>
          </w:tcPr>
          <w:p w14:paraId="2B37B5F7" w14:textId="77777777" w:rsidR="00E72E6D" w:rsidRPr="00423F39" w:rsidRDefault="00E72E6D" w:rsidP="00B464E6">
            <w:pPr>
              <w:pStyle w:val="TableHeading"/>
              <w:jc w:val="center"/>
              <w:rPr>
                <w:b/>
              </w:rPr>
            </w:pPr>
            <w:r w:rsidRPr="00423F39">
              <w:rPr>
                <w:b/>
              </w:rPr>
              <w:t>Criteria and</w:t>
            </w:r>
          </w:p>
          <w:p w14:paraId="134CA1DF" w14:textId="77777777" w:rsidR="00E72E6D" w:rsidRPr="00423F39" w:rsidRDefault="00E72E6D" w:rsidP="00B464E6">
            <w:pPr>
              <w:pStyle w:val="TableHeading"/>
              <w:jc w:val="center"/>
              <w:rPr>
                <w:b/>
              </w:rPr>
            </w:pPr>
            <w:r w:rsidRPr="00423F39">
              <w:rPr>
                <w:b/>
              </w:rPr>
              <w:t>Key Performance Area</w:t>
            </w:r>
          </w:p>
        </w:tc>
        <w:tc>
          <w:tcPr>
            <w:tcW w:w="1170" w:type="dxa"/>
            <w:hideMark/>
          </w:tcPr>
          <w:p w14:paraId="7DEA9304" w14:textId="77777777" w:rsidR="00E72E6D" w:rsidRPr="00423F39" w:rsidRDefault="00E72E6D" w:rsidP="00B464E6">
            <w:pPr>
              <w:pStyle w:val="TableHeading"/>
              <w:jc w:val="center"/>
              <w:rPr>
                <w:b/>
              </w:rPr>
            </w:pPr>
            <w:r w:rsidRPr="00423F39">
              <w:rPr>
                <w:b/>
              </w:rPr>
              <w:t>Course 1</w:t>
            </w:r>
          </w:p>
        </w:tc>
        <w:tc>
          <w:tcPr>
            <w:tcW w:w="1170" w:type="dxa"/>
            <w:hideMark/>
          </w:tcPr>
          <w:p w14:paraId="2B170AB3" w14:textId="77777777" w:rsidR="00E72E6D" w:rsidRPr="00423F39" w:rsidRDefault="00E72E6D" w:rsidP="00B464E6">
            <w:pPr>
              <w:pStyle w:val="TableHeading"/>
              <w:jc w:val="center"/>
              <w:rPr>
                <w:b/>
              </w:rPr>
            </w:pPr>
            <w:r w:rsidRPr="00423F39">
              <w:rPr>
                <w:b/>
              </w:rPr>
              <w:t>Course 2</w:t>
            </w:r>
          </w:p>
        </w:tc>
        <w:tc>
          <w:tcPr>
            <w:tcW w:w="1265" w:type="dxa"/>
            <w:hideMark/>
          </w:tcPr>
          <w:p w14:paraId="2E022D73" w14:textId="77777777" w:rsidR="00E72E6D" w:rsidRPr="00423F39" w:rsidRDefault="00E72E6D" w:rsidP="00B464E6">
            <w:pPr>
              <w:pStyle w:val="TableHeading"/>
              <w:jc w:val="center"/>
              <w:rPr>
                <w:b/>
              </w:rPr>
            </w:pPr>
            <w:r w:rsidRPr="00423F39">
              <w:rPr>
                <w:b/>
              </w:rPr>
              <w:t>Course 3</w:t>
            </w:r>
          </w:p>
        </w:tc>
      </w:tr>
      <w:tr w:rsidR="00E72E6D" w14:paraId="53B70EF9" w14:textId="77777777" w:rsidTr="00B464E6">
        <w:trPr>
          <w:cantSplit/>
        </w:trPr>
        <w:tc>
          <w:tcPr>
            <w:tcW w:w="7195" w:type="dxa"/>
            <w:vAlign w:val="top"/>
          </w:tcPr>
          <w:p w14:paraId="6A421AE9" w14:textId="70E9ED33" w:rsidR="00E72E6D" w:rsidRPr="00E72E6D" w:rsidRDefault="00E72E6D" w:rsidP="00B464E6">
            <w:pPr>
              <w:pStyle w:val="NormalWeb"/>
              <w:spacing w:before="0" w:beforeAutospacing="0" w:after="0" w:afterAutospacing="0"/>
              <w:rPr>
                <w:rFonts w:ascii="Arial" w:hAnsi="Arial" w:cs="Arial"/>
                <w:color w:val="000000"/>
                <w:sz w:val="22"/>
                <w:szCs w:val="22"/>
              </w:rPr>
            </w:pPr>
            <w:r w:rsidRPr="00E72E6D">
              <w:rPr>
                <w:rFonts w:ascii="Arial" w:hAnsi="Arial" w:cs="Arial"/>
                <w:color w:val="000000"/>
                <w:sz w:val="22"/>
                <w:szCs w:val="22"/>
              </w:rPr>
              <w:t>5.1 The candidate selects and appropriately uses a range of assessment types, including formative and summative assessments, to inform instructional decisions and support student learning in mathematics</w:t>
            </w:r>
          </w:p>
        </w:tc>
        <w:tc>
          <w:tcPr>
            <w:tcW w:w="1170" w:type="dxa"/>
            <w:vAlign w:val="top"/>
          </w:tcPr>
          <w:p w14:paraId="050F5B0D" w14:textId="77777777" w:rsidR="00E72E6D" w:rsidRDefault="00E72E6D" w:rsidP="00B464E6">
            <w:pPr>
              <w:ind w:left="0"/>
            </w:pPr>
          </w:p>
        </w:tc>
        <w:tc>
          <w:tcPr>
            <w:tcW w:w="1170" w:type="dxa"/>
            <w:vAlign w:val="top"/>
          </w:tcPr>
          <w:p w14:paraId="3924C59C" w14:textId="77777777" w:rsidR="00E72E6D" w:rsidRDefault="00E72E6D" w:rsidP="00B464E6">
            <w:pPr>
              <w:ind w:left="0"/>
            </w:pPr>
          </w:p>
        </w:tc>
        <w:tc>
          <w:tcPr>
            <w:tcW w:w="1265" w:type="dxa"/>
            <w:vAlign w:val="top"/>
          </w:tcPr>
          <w:p w14:paraId="52BDBAE0" w14:textId="77777777" w:rsidR="00E72E6D" w:rsidRDefault="00E72E6D" w:rsidP="00B464E6">
            <w:pPr>
              <w:ind w:left="0"/>
            </w:pPr>
          </w:p>
        </w:tc>
      </w:tr>
      <w:tr w:rsidR="00E72E6D" w14:paraId="048D5239" w14:textId="77777777" w:rsidTr="00B464E6">
        <w:trPr>
          <w:cantSplit/>
        </w:trPr>
        <w:tc>
          <w:tcPr>
            <w:tcW w:w="7195" w:type="dxa"/>
            <w:vAlign w:val="top"/>
          </w:tcPr>
          <w:p w14:paraId="39A44E3E" w14:textId="26628F6F" w:rsidR="00E72E6D" w:rsidRPr="00E72E6D" w:rsidRDefault="00E72E6D" w:rsidP="00B464E6">
            <w:pPr>
              <w:pStyle w:val="NormalWeb"/>
              <w:spacing w:before="0" w:beforeAutospacing="0" w:after="0" w:afterAutospacing="0"/>
              <w:rPr>
                <w:rFonts w:ascii="Arial" w:hAnsi="Arial" w:cs="Arial"/>
                <w:color w:val="000000"/>
                <w:sz w:val="22"/>
                <w:szCs w:val="22"/>
              </w:rPr>
            </w:pPr>
            <w:r w:rsidRPr="00E72E6D">
              <w:rPr>
                <w:rFonts w:ascii="Arial" w:hAnsi="Arial" w:cs="Arial"/>
                <w:color w:val="000000"/>
                <w:sz w:val="22"/>
                <w:szCs w:val="22"/>
              </w:rPr>
              <w:t>5.2 The candidate analyzes student work and performance-based assessments to identify appropriate instructional next steps and provides feedback that supports conceptual development and extends mathematical learning.</w:t>
            </w:r>
          </w:p>
        </w:tc>
        <w:tc>
          <w:tcPr>
            <w:tcW w:w="1170" w:type="dxa"/>
            <w:vAlign w:val="top"/>
          </w:tcPr>
          <w:p w14:paraId="6F5A60CF" w14:textId="77777777" w:rsidR="00E72E6D" w:rsidRDefault="00E72E6D" w:rsidP="00B464E6">
            <w:pPr>
              <w:ind w:left="0"/>
            </w:pPr>
          </w:p>
        </w:tc>
        <w:tc>
          <w:tcPr>
            <w:tcW w:w="1170" w:type="dxa"/>
            <w:vAlign w:val="top"/>
          </w:tcPr>
          <w:p w14:paraId="7940DF8E" w14:textId="77777777" w:rsidR="00E72E6D" w:rsidRDefault="00E72E6D" w:rsidP="00B464E6">
            <w:pPr>
              <w:ind w:left="0"/>
            </w:pPr>
          </w:p>
        </w:tc>
        <w:tc>
          <w:tcPr>
            <w:tcW w:w="1265" w:type="dxa"/>
            <w:vAlign w:val="top"/>
          </w:tcPr>
          <w:p w14:paraId="48CD3C40" w14:textId="77777777" w:rsidR="00E72E6D" w:rsidRDefault="00E72E6D" w:rsidP="00B464E6">
            <w:pPr>
              <w:ind w:left="0"/>
            </w:pPr>
          </w:p>
        </w:tc>
      </w:tr>
      <w:tr w:rsidR="00E72E6D" w14:paraId="26CF0DD8" w14:textId="77777777" w:rsidTr="00B464E6">
        <w:trPr>
          <w:cantSplit/>
        </w:trPr>
        <w:tc>
          <w:tcPr>
            <w:tcW w:w="7195" w:type="dxa"/>
            <w:vAlign w:val="top"/>
          </w:tcPr>
          <w:p w14:paraId="40C375A0" w14:textId="087A61F6" w:rsidR="00E72E6D" w:rsidRPr="00E72E6D" w:rsidRDefault="00E72E6D" w:rsidP="00B464E6">
            <w:pPr>
              <w:pStyle w:val="NormalWeb"/>
              <w:spacing w:before="0" w:beforeAutospacing="0" w:after="0" w:afterAutospacing="0"/>
              <w:rPr>
                <w:rFonts w:ascii="Arial" w:hAnsi="Arial" w:cs="Arial"/>
                <w:color w:val="000000"/>
                <w:sz w:val="22"/>
                <w:szCs w:val="22"/>
              </w:rPr>
            </w:pPr>
            <w:r w:rsidRPr="00E72E6D">
              <w:rPr>
                <w:rFonts w:ascii="Arial" w:hAnsi="Arial" w:cs="Arial"/>
                <w:color w:val="000000"/>
                <w:sz w:val="22"/>
                <w:szCs w:val="22"/>
              </w:rPr>
              <w:t>5.3 The candidate supports student progress within a Multi-Tiered System of Supports (MTSS) framework by using assessment data to inform instructional goals and guide differentiated mathematics instruction.</w:t>
            </w:r>
          </w:p>
        </w:tc>
        <w:tc>
          <w:tcPr>
            <w:tcW w:w="1170" w:type="dxa"/>
            <w:vAlign w:val="top"/>
          </w:tcPr>
          <w:p w14:paraId="2584557E" w14:textId="77777777" w:rsidR="00E72E6D" w:rsidRDefault="00E72E6D" w:rsidP="00B464E6">
            <w:pPr>
              <w:ind w:left="0"/>
            </w:pPr>
          </w:p>
        </w:tc>
        <w:tc>
          <w:tcPr>
            <w:tcW w:w="1170" w:type="dxa"/>
            <w:vAlign w:val="top"/>
          </w:tcPr>
          <w:p w14:paraId="60D0787F" w14:textId="77777777" w:rsidR="00E72E6D" w:rsidRDefault="00E72E6D" w:rsidP="00B464E6">
            <w:pPr>
              <w:ind w:left="0"/>
            </w:pPr>
          </w:p>
        </w:tc>
        <w:tc>
          <w:tcPr>
            <w:tcW w:w="1265" w:type="dxa"/>
            <w:vAlign w:val="top"/>
          </w:tcPr>
          <w:p w14:paraId="38AB830B" w14:textId="77777777" w:rsidR="00E72E6D" w:rsidRDefault="00E72E6D" w:rsidP="00B464E6">
            <w:pPr>
              <w:ind w:left="0"/>
            </w:pPr>
          </w:p>
        </w:tc>
      </w:tr>
      <w:tr w:rsidR="00E72E6D" w14:paraId="1D090F1E" w14:textId="77777777" w:rsidTr="00B464E6">
        <w:trPr>
          <w:cantSplit/>
        </w:trPr>
        <w:tc>
          <w:tcPr>
            <w:tcW w:w="7195" w:type="dxa"/>
            <w:vAlign w:val="top"/>
          </w:tcPr>
          <w:p w14:paraId="3BBBAF7B" w14:textId="59CDBE21" w:rsidR="00E72E6D" w:rsidRPr="00E72E6D" w:rsidRDefault="00E72E6D" w:rsidP="00B464E6">
            <w:pPr>
              <w:pStyle w:val="NormalWeb"/>
              <w:spacing w:before="0" w:beforeAutospacing="0" w:after="0" w:afterAutospacing="0"/>
              <w:rPr>
                <w:rFonts w:ascii="Arial" w:hAnsi="Arial" w:cs="Arial"/>
                <w:color w:val="000000"/>
                <w:sz w:val="22"/>
                <w:szCs w:val="22"/>
              </w:rPr>
            </w:pPr>
            <w:r w:rsidRPr="00E72E6D">
              <w:rPr>
                <w:rFonts w:ascii="Arial" w:hAnsi="Arial" w:cs="Arial"/>
                <w:color w:val="000000"/>
                <w:sz w:val="22"/>
                <w:szCs w:val="22"/>
              </w:rPr>
              <w:t>5- Assessment of Content Knowledge</w:t>
            </w:r>
          </w:p>
        </w:tc>
        <w:tc>
          <w:tcPr>
            <w:tcW w:w="1170" w:type="dxa"/>
            <w:vAlign w:val="top"/>
          </w:tcPr>
          <w:p w14:paraId="2A47D35B" w14:textId="77777777" w:rsidR="00E72E6D" w:rsidRDefault="00E72E6D" w:rsidP="00B464E6">
            <w:pPr>
              <w:ind w:left="0"/>
            </w:pPr>
          </w:p>
        </w:tc>
        <w:tc>
          <w:tcPr>
            <w:tcW w:w="1170" w:type="dxa"/>
            <w:vAlign w:val="top"/>
          </w:tcPr>
          <w:p w14:paraId="20842373" w14:textId="77777777" w:rsidR="00E72E6D" w:rsidRDefault="00E72E6D" w:rsidP="00B464E6">
            <w:pPr>
              <w:ind w:left="0"/>
            </w:pPr>
          </w:p>
        </w:tc>
        <w:tc>
          <w:tcPr>
            <w:tcW w:w="1265" w:type="dxa"/>
            <w:vAlign w:val="top"/>
          </w:tcPr>
          <w:p w14:paraId="0850C102" w14:textId="77777777" w:rsidR="00E72E6D" w:rsidRDefault="00E72E6D" w:rsidP="00B464E6">
            <w:pPr>
              <w:ind w:left="0"/>
            </w:pPr>
          </w:p>
        </w:tc>
      </w:tr>
      <w:tr w:rsidR="00E72E6D" w14:paraId="50308DD1" w14:textId="77777777" w:rsidTr="00B464E6">
        <w:trPr>
          <w:cantSplit/>
        </w:trPr>
        <w:tc>
          <w:tcPr>
            <w:tcW w:w="7195" w:type="dxa"/>
            <w:vAlign w:val="top"/>
          </w:tcPr>
          <w:p w14:paraId="7F6F0552" w14:textId="0D321439" w:rsidR="00E72E6D" w:rsidRPr="00E72E6D" w:rsidRDefault="00E72E6D" w:rsidP="00B464E6">
            <w:pPr>
              <w:pStyle w:val="NormalWeb"/>
              <w:spacing w:before="0" w:beforeAutospacing="0" w:after="0" w:afterAutospacing="0"/>
              <w:rPr>
                <w:rFonts w:ascii="Arial" w:hAnsi="Arial" w:cs="Arial"/>
                <w:color w:val="000000"/>
                <w:sz w:val="22"/>
                <w:szCs w:val="22"/>
              </w:rPr>
            </w:pPr>
            <w:r w:rsidRPr="00E72E6D">
              <w:rPr>
                <w:rFonts w:ascii="Arial" w:hAnsi="Arial" w:cs="Arial"/>
                <w:color w:val="000000"/>
                <w:sz w:val="22"/>
                <w:szCs w:val="22"/>
              </w:rPr>
              <w:t>5- Assessment of Application (practicum, curriculum development)</w:t>
            </w:r>
          </w:p>
        </w:tc>
        <w:tc>
          <w:tcPr>
            <w:tcW w:w="1170" w:type="dxa"/>
            <w:vAlign w:val="top"/>
          </w:tcPr>
          <w:p w14:paraId="612C09C2" w14:textId="77777777" w:rsidR="00E72E6D" w:rsidRDefault="00E72E6D" w:rsidP="00B464E6">
            <w:pPr>
              <w:ind w:left="0"/>
            </w:pPr>
          </w:p>
        </w:tc>
        <w:tc>
          <w:tcPr>
            <w:tcW w:w="1170" w:type="dxa"/>
            <w:vAlign w:val="top"/>
          </w:tcPr>
          <w:p w14:paraId="717F31C3" w14:textId="77777777" w:rsidR="00E72E6D" w:rsidRDefault="00E72E6D" w:rsidP="00B464E6">
            <w:pPr>
              <w:ind w:left="0"/>
            </w:pPr>
          </w:p>
        </w:tc>
        <w:tc>
          <w:tcPr>
            <w:tcW w:w="1265" w:type="dxa"/>
            <w:vAlign w:val="top"/>
          </w:tcPr>
          <w:p w14:paraId="37A50153" w14:textId="77777777" w:rsidR="00E72E6D" w:rsidRDefault="00E72E6D" w:rsidP="00B464E6">
            <w:pPr>
              <w:ind w:left="0"/>
            </w:pPr>
          </w:p>
        </w:tc>
      </w:tr>
    </w:tbl>
    <w:p w14:paraId="20F922A7" w14:textId="10B31B31" w:rsidR="00E72E6D" w:rsidRDefault="00E72E6D" w:rsidP="00E72E6D">
      <w:bookmarkStart w:id="0" w:name="_GoBack"/>
      <w:bookmarkEnd w:id="0"/>
    </w:p>
    <w:sectPr w:rsidR="00E72E6D"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E2A53" w14:textId="77777777" w:rsidR="006C48AA" w:rsidRDefault="006C48AA" w:rsidP="00491299">
      <w:pPr>
        <w:spacing w:after="0" w:line="240" w:lineRule="auto"/>
      </w:pPr>
      <w:r>
        <w:separator/>
      </w:r>
    </w:p>
  </w:endnote>
  <w:endnote w:type="continuationSeparator" w:id="0">
    <w:p w14:paraId="595008E4" w14:textId="77777777" w:rsidR="006C48AA" w:rsidRDefault="006C48AA"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299534"/>
      <w:docPartObj>
        <w:docPartGallery w:val="Page Numbers (Bottom of Page)"/>
        <w:docPartUnique/>
      </w:docPartObj>
    </w:sdtPr>
    <w:sdtEndPr>
      <w:rPr>
        <w:noProof/>
      </w:rPr>
    </w:sdtEndPr>
    <w:sdtContent>
      <w:p w14:paraId="22F91518" w14:textId="77777777" w:rsidR="00DA3298" w:rsidRDefault="00DA32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AF12A" w14:textId="77777777" w:rsidR="00491299" w:rsidRPr="004D7B1B" w:rsidRDefault="00491299" w:rsidP="004D7B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C90F4" w14:textId="77777777" w:rsidR="006C48AA" w:rsidRDefault="006C48AA" w:rsidP="00491299">
      <w:pPr>
        <w:spacing w:after="0" w:line="240" w:lineRule="auto"/>
      </w:pPr>
      <w:r>
        <w:separator/>
      </w:r>
    </w:p>
  </w:footnote>
  <w:footnote w:type="continuationSeparator" w:id="0">
    <w:p w14:paraId="088ADDDA" w14:textId="77777777" w:rsidR="006C48AA" w:rsidRDefault="006C48AA"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75599"/>
    <w:multiLevelType w:val="multilevel"/>
    <w:tmpl w:val="0E98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F7186"/>
    <w:multiLevelType w:val="hybridMultilevel"/>
    <w:tmpl w:val="046CF84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676F504F"/>
    <w:multiLevelType w:val="multilevel"/>
    <w:tmpl w:val="4444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0C7211"/>
    <w:multiLevelType w:val="hybridMultilevel"/>
    <w:tmpl w:val="82E6586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6B6603BB"/>
    <w:multiLevelType w:val="hybridMultilevel"/>
    <w:tmpl w:val="820CACD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6FE03F85"/>
    <w:multiLevelType w:val="hybridMultilevel"/>
    <w:tmpl w:val="2CECD9B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6" w15:restartNumberingAfterBreak="0">
    <w:nsid w:val="7DA62F29"/>
    <w:multiLevelType w:val="multilevel"/>
    <w:tmpl w:val="C4C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01"/>
    <w:rsid w:val="00090F5E"/>
    <w:rsid w:val="000E712D"/>
    <w:rsid w:val="001B55D9"/>
    <w:rsid w:val="001D0E44"/>
    <w:rsid w:val="00256F73"/>
    <w:rsid w:val="002C5910"/>
    <w:rsid w:val="003213C6"/>
    <w:rsid w:val="00332443"/>
    <w:rsid w:val="003876E8"/>
    <w:rsid w:val="003A7507"/>
    <w:rsid w:val="003C1DA2"/>
    <w:rsid w:val="003F3A62"/>
    <w:rsid w:val="003F7F0C"/>
    <w:rsid w:val="00423F39"/>
    <w:rsid w:val="00434015"/>
    <w:rsid w:val="00491299"/>
    <w:rsid w:val="004B752C"/>
    <w:rsid w:val="004C153E"/>
    <w:rsid w:val="004D7B1B"/>
    <w:rsid w:val="00501077"/>
    <w:rsid w:val="00504B25"/>
    <w:rsid w:val="0054445F"/>
    <w:rsid w:val="005756C6"/>
    <w:rsid w:val="00595307"/>
    <w:rsid w:val="00596873"/>
    <w:rsid w:val="005C7FFA"/>
    <w:rsid w:val="0061364B"/>
    <w:rsid w:val="00625E4F"/>
    <w:rsid w:val="00633608"/>
    <w:rsid w:val="006650A4"/>
    <w:rsid w:val="00686719"/>
    <w:rsid w:val="00694F3E"/>
    <w:rsid w:val="00696AF9"/>
    <w:rsid w:val="006C48AA"/>
    <w:rsid w:val="006C7E44"/>
    <w:rsid w:val="007500ED"/>
    <w:rsid w:val="007614E9"/>
    <w:rsid w:val="007B2762"/>
    <w:rsid w:val="008151E9"/>
    <w:rsid w:val="00824991"/>
    <w:rsid w:val="00825090"/>
    <w:rsid w:val="00847D7C"/>
    <w:rsid w:val="008A3B17"/>
    <w:rsid w:val="008A3EB4"/>
    <w:rsid w:val="008A75FC"/>
    <w:rsid w:val="008E7280"/>
    <w:rsid w:val="00901B36"/>
    <w:rsid w:val="009053F0"/>
    <w:rsid w:val="00916CD9"/>
    <w:rsid w:val="009C4471"/>
    <w:rsid w:val="00A460D2"/>
    <w:rsid w:val="00A46467"/>
    <w:rsid w:val="00A67330"/>
    <w:rsid w:val="00A70D95"/>
    <w:rsid w:val="00A93CE2"/>
    <w:rsid w:val="00AA5025"/>
    <w:rsid w:val="00B07D3D"/>
    <w:rsid w:val="00B376BA"/>
    <w:rsid w:val="00B44439"/>
    <w:rsid w:val="00B65C45"/>
    <w:rsid w:val="00BA2A0B"/>
    <w:rsid w:val="00BE1C04"/>
    <w:rsid w:val="00BE3405"/>
    <w:rsid w:val="00BF6281"/>
    <w:rsid w:val="00BF7315"/>
    <w:rsid w:val="00C12135"/>
    <w:rsid w:val="00C65B7D"/>
    <w:rsid w:val="00C95351"/>
    <w:rsid w:val="00CD0253"/>
    <w:rsid w:val="00CE4807"/>
    <w:rsid w:val="00CF35B8"/>
    <w:rsid w:val="00D15896"/>
    <w:rsid w:val="00D32756"/>
    <w:rsid w:val="00D440AC"/>
    <w:rsid w:val="00D56F1E"/>
    <w:rsid w:val="00D87AFE"/>
    <w:rsid w:val="00DA3298"/>
    <w:rsid w:val="00E64853"/>
    <w:rsid w:val="00E72E6D"/>
    <w:rsid w:val="00E81060"/>
    <w:rsid w:val="00EA638D"/>
    <w:rsid w:val="00EA67AA"/>
    <w:rsid w:val="00EB35A9"/>
    <w:rsid w:val="00EB6C01"/>
    <w:rsid w:val="00ED5D86"/>
    <w:rsid w:val="00ED5F42"/>
    <w:rsid w:val="00EF075A"/>
    <w:rsid w:val="00EF57B7"/>
    <w:rsid w:val="00F17E4A"/>
    <w:rsid w:val="00FB4B2C"/>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BA914"/>
  <w15:chartTrackingRefBased/>
  <w15:docId w15:val="{F2A47F24-0CC7-4039-A487-3F2F4E88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B6C01"/>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460D2"/>
    <w:rPr>
      <w:color w:val="808080"/>
    </w:rPr>
  </w:style>
  <w:style w:type="paragraph" w:styleId="ListParagraph">
    <w:name w:val="List Paragraph"/>
    <w:basedOn w:val="Normal"/>
    <w:uiPriority w:val="34"/>
    <w:rsid w:val="009C4471"/>
    <w:pPr>
      <w:ind w:left="720"/>
      <w:contextualSpacing/>
    </w:pPr>
  </w:style>
  <w:style w:type="character" w:styleId="CommentReference">
    <w:name w:val="annotation reference"/>
    <w:basedOn w:val="DefaultParagraphFont"/>
    <w:uiPriority w:val="99"/>
    <w:semiHidden/>
    <w:unhideWhenUsed/>
    <w:rsid w:val="00C95351"/>
    <w:rPr>
      <w:sz w:val="16"/>
      <w:szCs w:val="16"/>
    </w:rPr>
  </w:style>
  <w:style w:type="paragraph" w:styleId="CommentText">
    <w:name w:val="annotation text"/>
    <w:basedOn w:val="Normal"/>
    <w:link w:val="CommentTextChar"/>
    <w:uiPriority w:val="99"/>
    <w:semiHidden/>
    <w:unhideWhenUsed/>
    <w:rsid w:val="00C95351"/>
    <w:pPr>
      <w:spacing w:line="240" w:lineRule="auto"/>
    </w:pPr>
    <w:rPr>
      <w:sz w:val="20"/>
      <w:szCs w:val="20"/>
    </w:rPr>
  </w:style>
  <w:style w:type="character" w:customStyle="1" w:styleId="CommentTextChar">
    <w:name w:val="Comment Text Char"/>
    <w:basedOn w:val="DefaultParagraphFont"/>
    <w:link w:val="CommentText"/>
    <w:uiPriority w:val="99"/>
    <w:semiHidden/>
    <w:rsid w:val="00C95351"/>
    <w:rPr>
      <w:sz w:val="20"/>
      <w:szCs w:val="20"/>
    </w:rPr>
  </w:style>
  <w:style w:type="paragraph" w:styleId="CommentSubject">
    <w:name w:val="annotation subject"/>
    <w:basedOn w:val="CommentText"/>
    <w:next w:val="CommentText"/>
    <w:link w:val="CommentSubjectChar"/>
    <w:uiPriority w:val="99"/>
    <w:semiHidden/>
    <w:unhideWhenUsed/>
    <w:rsid w:val="00C95351"/>
    <w:rPr>
      <w:b/>
      <w:bCs/>
    </w:rPr>
  </w:style>
  <w:style w:type="character" w:customStyle="1" w:styleId="CommentSubjectChar">
    <w:name w:val="Comment Subject Char"/>
    <w:basedOn w:val="CommentTextChar"/>
    <w:link w:val="CommentSubject"/>
    <w:uiPriority w:val="99"/>
    <w:semiHidden/>
    <w:rsid w:val="00C95351"/>
    <w:rPr>
      <w:b/>
      <w:bCs/>
      <w:sz w:val="20"/>
      <w:szCs w:val="20"/>
    </w:rPr>
  </w:style>
  <w:style w:type="paragraph" w:styleId="BalloonText">
    <w:name w:val="Balloon Text"/>
    <w:basedOn w:val="Normal"/>
    <w:link w:val="BalloonTextChar"/>
    <w:uiPriority w:val="99"/>
    <w:semiHidden/>
    <w:unhideWhenUsed/>
    <w:rsid w:val="00C95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3820">
      <w:bodyDiv w:val="1"/>
      <w:marLeft w:val="0"/>
      <w:marRight w:val="0"/>
      <w:marTop w:val="0"/>
      <w:marBottom w:val="0"/>
      <w:divBdr>
        <w:top w:val="none" w:sz="0" w:space="0" w:color="auto"/>
        <w:left w:val="none" w:sz="0" w:space="0" w:color="auto"/>
        <w:bottom w:val="none" w:sz="0" w:space="0" w:color="auto"/>
        <w:right w:val="none" w:sz="0" w:space="0" w:color="auto"/>
      </w:divBdr>
      <w:divsChild>
        <w:div w:id="1064717184">
          <w:marLeft w:val="-780"/>
          <w:marRight w:val="0"/>
          <w:marTop w:val="0"/>
          <w:marBottom w:val="0"/>
          <w:divBdr>
            <w:top w:val="none" w:sz="0" w:space="0" w:color="auto"/>
            <w:left w:val="none" w:sz="0" w:space="0" w:color="auto"/>
            <w:bottom w:val="none" w:sz="0" w:space="0" w:color="auto"/>
            <w:right w:val="none" w:sz="0" w:space="0" w:color="auto"/>
          </w:divBdr>
        </w:div>
        <w:div w:id="317003587">
          <w:marLeft w:val="-735"/>
          <w:marRight w:val="0"/>
          <w:marTop w:val="0"/>
          <w:marBottom w:val="0"/>
          <w:divBdr>
            <w:top w:val="none" w:sz="0" w:space="0" w:color="auto"/>
            <w:left w:val="none" w:sz="0" w:space="0" w:color="auto"/>
            <w:bottom w:val="none" w:sz="0" w:space="0" w:color="auto"/>
            <w:right w:val="none" w:sz="0" w:space="0" w:color="auto"/>
          </w:divBdr>
        </w:div>
        <w:div w:id="25062060">
          <w:marLeft w:val="-720"/>
          <w:marRight w:val="0"/>
          <w:marTop w:val="0"/>
          <w:marBottom w:val="0"/>
          <w:divBdr>
            <w:top w:val="none" w:sz="0" w:space="0" w:color="auto"/>
            <w:left w:val="none" w:sz="0" w:space="0" w:color="auto"/>
            <w:bottom w:val="none" w:sz="0" w:space="0" w:color="auto"/>
            <w:right w:val="none" w:sz="0" w:space="0" w:color="auto"/>
          </w:divBdr>
        </w:div>
        <w:div w:id="1528367700">
          <w:marLeft w:val="-660"/>
          <w:marRight w:val="0"/>
          <w:marTop w:val="0"/>
          <w:marBottom w:val="0"/>
          <w:divBdr>
            <w:top w:val="none" w:sz="0" w:space="0" w:color="auto"/>
            <w:left w:val="none" w:sz="0" w:space="0" w:color="auto"/>
            <w:bottom w:val="none" w:sz="0" w:space="0" w:color="auto"/>
            <w:right w:val="none" w:sz="0" w:space="0" w:color="auto"/>
          </w:divBdr>
        </w:div>
        <w:div w:id="332227344">
          <w:marLeft w:val="-660"/>
          <w:marRight w:val="0"/>
          <w:marTop w:val="0"/>
          <w:marBottom w:val="0"/>
          <w:divBdr>
            <w:top w:val="none" w:sz="0" w:space="0" w:color="auto"/>
            <w:left w:val="none" w:sz="0" w:space="0" w:color="auto"/>
            <w:bottom w:val="none" w:sz="0" w:space="0" w:color="auto"/>
            <w:right w:val="none" w:sz="0" w:space="0" w:color="auto"/>
          </w:divBdr>
        </w:div>
      </w:divsChild>
    </w:div>
    <w:div w:id="1145782677">
      <w:bodyDiv w:val="1"/>
      <w:marLeft w:val="0"/>
      <w:marRight w:val="0"/>
      <w:marTop w:val="0"/>
      <w:marBottom w:val="0"/>
      <w:divBdr>
        <w:top w:val="none" w:sz="0" w:space="0" w:color="auto"/>
        <w:left w:val="none" w:sz="0" w:space="0" w:color="auto"/>
        <w:bottom w:val="none" w:sz="0" w:space="0" w:color="auto"/>
        <w:right w:val="none" w:sz="0" w:space="0" w:color="auto"/>
      </w:divBdr>
    </w:div>
    <w:div w:id="1329598612">
      <w:bodyDiv w:val="1"/>
      <w:marLeft w:val="0"/>
      <w:marRight w:val="0"/>
      <w:marTop w:val="0"/>
      <w:marBottom w:val="0"/>
      <w:divBdr>
        <w:top w:val="none" w:sz="0" w:space="0" w:color="auto"/>
        <w:left w:val="none" w:sz="0" w:space="0" w:color="auto"/>
        <w:bottom w:val="none" w:sz="0" w:space="0" w:color="auto"/>
        <w:right w:val="none" w:sz="0" w:space="0" w:color="auto"/>
      </w:divBdr>
      <w:divsChild>
        <w:div w:id="2014605766">
          <w:marLeft w:val="-660"/>
          <w:marRight w:val="0"/>
          <w:marTop w:val="0"/>
          <w:marBottom w:val="0"/>
          <w:divBdr>
            <w:top w:val="none" w:sz="0" w:space="0" w:color="auto"/>
            <w:left w:val="none" w:sz="0" w:space="0" w:color="auto"/>
            <w:bottom w:val="none" w:sz="0" w:space="0" w:color="auto"/>
            <w:right w:val="none" w:sz="0" w:space="0" w:color="auto"/>
          </w:divBdr>
        </w:div>
        <w:div w:id="283390531">
          <w:marLeft w:val="-660"/>
          <w:marRight w:val="0"/>
          <w:marTop w:val="0"/>
          <w:marBottom w:val="0"/>
          <w:divBdr>
            <w:top w:val="none" w:sz="0" w:space="0" w:color="auto"/>
            <w:left w:val="none" w:sz="0" w:space="0" w:color="auto"/>
            <w:bottom w:val="none" w:sz="0" w:space="0" w:color="auto"/>
            <w:right w:val="none" w:sz="0" w:space="0" w:color="auto"/>
          </w:divBdr>
        </w:div>
        <w:div w:id="899708336">
          <w:marLeft w:val="-660"/>
          <w:marRight w:val="0"/>
          <w:marTop w:val="0"/>
          <w:marBottom w:val="0"/>
          <w:divBdr>
            <w:top w:val="none" w:sz="0" w:space="0" w:color="auto"/>
            <w:left w:val="none" w:sz="0" w:space="0" w:color="auto"/>
            <w:bottom w:val="none" w:sz="0" w:space="0" w:color="auto"/>
            <w:right w:val="none" w:sz="0" w:space="0" w:color="auto"/>
          </w:divBdr>
        </w:div>
        <w:div w:id="1825126869">
          <w:marLeft w:val="-660"/>
          <w:marRight w:val="0"/>
          <w:marTop w:val="0"/>
          <w:marBottom w:val="0"/>
          <w:divBdr>
            <w:top w:val="none" w:sz="0" w:space="0" w:color="auto"/>
            <w:left w:val="none" w:sz="0" w:space="0" w:color="auto"/>
            <w:bottom w:val="none" w:sz="0" w:space="0" w:color="auto"/>
            <w:right w:val="none" w:sz="0" w:space="0" w:color="auto"/>
          </w:divBdr>
        </w:div>
        <w:div w:id="788209294">
          <w:marLeft w:val="-6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fort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B6FD8-FEF1-429B-B933-281DB8E2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(4).dotx</Template>
  <TotalTime>0</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Pforts, April [IDOE]</dc:creator>
  <cp:keywords/>
  <dc:description/>
  <cp:lastModifiedBy>Albers, Lisa [IDOE]</cp:lastModifiedBy>
  <cp:revision>2</cp:revision>
  <dcterms:created xsi:type="dcterms:W3CDTF">2025-08-07T00:45:00Z</dcterms:created>
  <dcterms:modified xsi:type="dcterms:W3CDTF">2025-08-07T00:45:00Z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09a225f4-7199-4b79-ba67-81fcb54a8365</vt:lpwstr>
  </property>
</Properties>
</file>