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C4DC6" w14:textId="77777777" w:rsidR="003F7F0C" w:rsidRPr="00473B75" w:rsidRDefault="004D7B1B" w:rsidP="00473B75">
      <w:pPr>
        <w:pStyle w:val="Heading1"/>
      </w:pPr>
      <w:r w:rsidRPr="00473B75">
        <w:drawing>
          <wp:anchor distT="0" distB="0" distL="114300" distR="114300" simplePos="0" relativeHeight="251658240" behindDoc="1" locked="1" layoutInCell="1" allowOverlap="1" wp14:anchorId="64255C0A" wp14:editId="0848C58D">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B6C01" w:rsidRPr="00473B75">
        <w:t>Appendix 1: Program Self-Analysis/Phase 1</w:t>
      </w:r>
    </w:p>
    <w:p w14:paraId="67B0789F" w14:textId="3E25F378" w:rsidR="006A5DA2" w:rsidRDefault="006A5DA2" w:rsidP="00473B75">
      <w:r w:rsidRPr="006A5DA2">
        <w:t>Programs use this tool to provide justification</w:t>
      </w:r>
      <w:r w:rsidR="003E7DF9">
        <w:t xml:space="preserve"> for</w:t>
      </w:r>
      <w:r w:rsidR="003E7DF9" w:rsidRPr="003E7DF9">
        <w:t xml:space="preserve"> alignment </w:t>
      </w:r>
      <w:r w:rsidR="003E7DF9">
        <w:t>to</w:t>
      </w:r>
      <w:r w:rsidR="003E7DF9" w:rsidRPr="003E7DF9">
        <w:t xml:space="preserve"> the Mathematics Educator Competencies</w:t>
      </w:r>
      <w:r w:rsidR="003E7DF9">
        <w:t xml:space="preserve"> </w:t>
      </w:r>
      <w:r w:rsidRPr="006A5DA2">
        <w:t xml:space="preserve">with detailed syllabi and coursework examples. Programs must ensure that evidence is not criteria-based (exposing students to the concepts), but instead performance-based (candidates must show evidence they meet the criteria). Evidence could include exams with true/false, </w:t>
      </w:r>
      <w:r w:rsidR="00675914">
        <w:t>multiple-choice, or short-answer questions</w:t>
      </w:r>
      <w:r w:rsidRPr="006A5DA2">
        <w:t>.</w:t>
      </w:r>
    </w:p>
    <w:p w14:paraId="781067D7" w14:textId="77777777" w:rsidR="00EB6C01" w:rsidRPr="00EB6C01" w:rsidRDefault="00EB6C01" w:rsidP="00473B75">
      <w:pPr>
        <w:pStyle w:val="Heading2"/>
      </w:pPr>
      <w:r w:rsidRPr="00EB6C01">
        <w:t xml:space="preserve">Domain 1: </w:t>
      </w:r>
      <w:r w:rsidRPr="00473B75">
        <w:t>Understanding</w:t>
      </w:r>
      <w:r w:rsidRPr="00EB6C01">
        <w:t xml:space="preserve"> Mathematical Development</w:t>
      </w:r>
    </w:p>
    <w:tbl>
      <w:tblPr>
        <w:tblStyle w:val="DefaultEducation"/>
        <w:tblW w:w="10800" w:type="dxa"/>
        <w:tblLook w:val="04A0" w:firstRow="1" w:lastRow="0" w:firstColumn="1" w:lastColumn="0" w:noHBand="0" w:noVBand="1"/>
      </w:tblPr>
      <w:tblGrid>
        <w:gridCol w:w="4225"/>
        <w:gridCol w:w="2790"/>
        <w:gridCol w:w="1370"/>
        <w:gridCol w:w="2415"/>
      </w:tblGrid>
      <w:tr w:rsidR="00EB6C01" w:rsidRPr="00473B75" w14:paraId="220F3D06" w14:textId="77777777" w:rsidTr="00473B75">
        <w:trPr>
          <w:cnfStyle w:val="100000000000" w:firstRow="1" w:lastRow="0" w:firstColumn="0" w:lastColumn="0" w:oddVBand="0" w:evenVBand="0" w:oddHBand="0" w:evenHBand="0" w:firstRowFirstColumn="0" w:firstRowLastColumn="0" w:lastRowFirstColumn="0" w:lastRowLastColumn="0"/>
          <w:cantSplit/>
          <w:tblHeader/>
        </w:trPr>
        <w:tc>
          <w:tcPr>
            <w:tcW w:w="4225" w:type="dxa"/>
            <w:hideMark/>
          </w:tcPr>
          <w:p w14:paraId="286C9B84" w14:textId="77777777" w:rsidR="00EB6C01" w:rsidRPr="00473B75" w:rsidRDefault="00EB6C01" w:rsidP="00473B75">
            <w:pPr>
              <w:pStyle w:val="TableHeading"/>
              <w:jc w:val="center"/>
              <w:rPr>
                <w:b/>
              </w:rPr>
            </w:pPr>
            <w:r w:rsidRPr="00473B75">
              <w:rPr>
                <w:b/>
              </w:rPr>
              <w:t>Criteria and Key Performance Area</w:t>
            </w:r>
          </w:p>
        </w:tc>
        <w:tc>
          <w:tcPr>
            <w:tcW w:w="2790" w:type="dxa"/>
            <w:hideMark/>
          </w:tcPr>
          <w:p w14:paraId="6996ECE5" w14:textId="77777777" w:rsidR="00EB6C01" w:rsidRPr="00473B75" w:rsidRDefault="00EB6C01" w:rsidP="00473B75">
            <w:pPr>
              <w:pStyle w:val="TableHeading"/>
              <w:jc w:val="center"/>
              <w:rPr>
                <w:b/>
              </w:rPr>
            </w:pPr>
            <w:r w:rsidRPr="00473B75">
              <w:rPr>
                <w:b/>
              </w:rPr>
              <w:t>Curriculum Written Evaluation and Evidence for Performance Indicators of Candidate Competency</w:t>
            </w:r>
          </w:p>
        </w:tc>
        <w:tc>
          <w:tcPr>
            <w:tcW w:w="1370" w:type="dxa"/>
            <w:hideMark/>
          </w:tcPr>
          <w:p w14:paraId="5E0AF424" w14:textId="77777777" w:rsidR="00EB6C01" w:rsidRPr="00473B75" w:rsidRDefault="00EB6C01" w:rsidP="00473B75">
            <w:pPr>
              <w:pStyle w:val="TableHeading"/>
              <w:jc w:val="center"/>
              <w:rPr>
                <w:b/>
              </w:rPr>
            </w:pPr>
            <w:r w:rsidRPr="00473B75">
              <w:rPr>
                <w:b/>
              </w:rPr>
              <w:t>Files</w:t>
            </w:r>
          </w:p>
        </w:tc>
        <w:tc>
          <w:tcPr>
            <w:tcW w:w="2415" w:type="dxa"/>
            <w:hideMark/>
          </w:tcPr>
          <w:p w14:paraId="6544F8F2" w14:textId="1055804F" w:rsidR="00EB6C01" w:rsidRPr="00473B75" w:rsidRDefault="00484F49" w:rsidP="00473B75">
            <w:pPr>
              <w:pStyle w:val="TableHeading"/>
              <w:jc w:val="center"/>
              <w:rPr>
                <w:b/>
              </w:rPr>
            </w:pPr>
            <w:r w:rsidRPr="00473B75">
              <w:rPr>
                <w:b/>
              </w:rPr>
              <w:t>Self-Rating (based on rubrics in Workbook section 2</w:t>
            </w:r>
            <w:r w:rsidR="00EB6C01" w:rsidRPr="00473B75">
              <w:rPr>
                <w:b/>
              </w:rPr>
              <w:t>)</w:t>
            </w:r>
          </w:p>
        </w:tc>
      </w:tr>
      <w:tr w:rsidR="00EB6C01" w:rsidRPr="00473B75" w14:paraId="09DAAE8E" w14:textId="77777777" w:rsidTr="00473B75">
        <w:trPr>
          <w:cantSplit/>
        </w:trPr>
        <w:tc>
          <w:tcPr>
            <w:tcW w:w="4225" w:type="dxa"/>
            <w:vAlign w:val="top"/>
            <w:hideMark/>
          </w:tcPr>
          <w:p w14:paraId="3DA4D23E" w14:textId="77777777" w:rsidR="00EB6C01" w:rsidRPr="00473B75" w:rsidRDefault="00EB6C01" w:rsidP="00473B75">
            <w:pPr>
              <w:ind w:left="0"/>
              <w:rPr>
                <w:szCs w:val="20"/>
              </w:rPr>
            </w:pPr>
            <w:r w:rsidRPr="00473B75">
              <w:rPr>
                <w:szCs w:val="20"/>
              </w:rPr>
              <w:t>1.1 Reasonable goals and expectations for learners at various stages of mathematics development, including familiarity with the Iowa Academic Standards for Mathematics and the structure of high-quality instructional materials aligned to those standards.</w:t>
            </w:r>
          </w:p>
        </w:tc>
        <w:tc>
          <w:tcPr>
            <w:tcW w:w="2790" w:type="dxa"/>
            <w:vAlign w:val="top"/>
            <w:hideMark/>
          </w:tcPr>
          <w:p w14:paraId="77225DCD" w14:textId="77777777" w:rsidR="00EB6C01" w:rsidRPr="00473B75" w:rsidRDefault="00EB6C01" w:rsidP="00473B75">
            <w:pPr>
              <w:ind w:left="0"/>
              <w:rPr>
                <w:szCs w:val="20"/>
              </w:rPr>
            </w:pPr>
          </w:p>
        </w:tc>
        <w:tc>
          <w:tcPr>
            <w:tcW w:w="1370" w:type="dxa"/>
            <w:vAlign w:val="top"/>
            <w:hideMark/>
          </w:tcPr>
          <w:p w14:paraId="7C757409" w14:textId="77777777" w:rsidR="00EB6C01" w:rsidRPr="00473B75" w:rsidRDefault="00EB6C01" w:rsidP="00473B75">
            <w:pPr>
              <w:ind w:left="0"/>
              <w:rPr>
                <w:szCs w:val="20"/>
              </w:rPr>
            </w:pPr>
          </w:p>
        </w:tc>
        <w:tc>
          <w:tcPr>
            <w:tcW w:w="2415" w:type="dxa"/>
            <w:vAlign w:val="top"/>
            <w:hideMark/>
          </w:tcPr>
          <w:p w14:paraId="40F17322" w14:textId="77777777" w:rsidR="00EB6C01" w:rsidRPr="00473B75" w:rsidRDefault="00EB6C01" w:rsidP="00473B75">
            <w:pPr>
              <w:pStyle w:val="NormalWeb"/>
              <w:spacing w:before="0" w:beforeAutospacing="0" w:after="0" w:afterAutospacing="0"/>
              <w:rPr>
                <w:rFonts w:ascii="Arial" w:hAnsi="Arial" w:cs="Arial"/>
                <w:sz w:val="20"/>
                <w:szCs w:val="20"/>
              </w:rPr>
            </w:pPr>
          </w:p>
        </w:tc>
      </w:tr>
      <w:tr w:rsidR="00473B75" w:rsidRPr="00473B75" w14:paraId="446E5DA7" w14:textId="77777777" w:rsidTr="00473B75">
        <w:trPr>
          <w:cantSplit/>
        </w:trPr>
        <w:tc>
          <w:tcPr>
            <w:tcW w:w="4225" w:type="dxa"/>
            <w:vAlign w:val="top"/>
            <w:hideMark/>
          </w:tcPr>
          <w:p w14:paraId="256730D7" w14:textId="77777777" w:rsidR="00473B75" w:rsidRPr="00473B75" w:rsidRDefault="00473B75" w:rsidP="00473B75">
            <w:pPr>
              <w:ind w:left="0"/>
              <w:rPr>
                <w:szCs w:val="20"/>
              </w:rPr>
            </w:pPr>
            <w:r w:rsidRPr="00473B75">
              <w:rPr>
                <w:szCs w:val="20"/>
              </w:rPr>
              <w:t>1.2 Understanding how students construct mathematical knowledge through the development of conceptual understanding, procedural fluency, and application, emphasizing fluency through strategic reasoning and metacognition rather than speed or memorization alone.</w:t>
            </w:r>
          </w:p>
        </w:tc>
        <w:tc>
          <w:tcPr>
            <w:tcW w:w="2790" w:type="dxa"/>
            <w:vAlign w:val="top"/>
            <w:hideMark/>
          </w:tcPr>
          <w:p w14:paraId="02C964E0" w14:textId="77777777" w:rsidR="00473B75" w:rsidRPr="00473B75" w:rsidRDefault="00473B75" w:rsidP="00473B75">
            <w:pPr>
              <w:ind w:left="0"/>
              <w:rPr>
                <w:szCs w:val="20"/>
              </w:rPr>
            </w:pPr>
          </w:p>
        </w:tc>
        <w:tc>
          <w:tcPr>
            <w:tcW w:w="1370" w:type="dxa"/>
            <w:vAlign w:val="top"/>
            <w:hideMark/>
          </w:tcPr>
          <w:p w14:paraId="032FA4C5" w14:textId="77777777" w:rsidR="00473B75" w:rsidRPr="00473B75" w:rsidRDefault="00473B75" w:rsidP="00473B75">
            <w:pPr>
              <w:ind w:left="0"/>
              <w:rPr>
                <w:szCs w:val="20"/>
              </w:rPr>
            </w:pPr>
          </w:p>
        </w:tc>
        <w:tc>
          <w:tcPr>
            <w:tcW w:w="2415" w:type="dxa"/>
            <w:vAlign w:val="top"/>
            <w:hideMark/>
          </w:tcPr>
          <w:p w14:paraId="55D0C04E" w14:textId="77777777" w:rsidR="00473B75" w:rsidRPr="00473B75" w:rsidRDefault="00473B75" w:rsidP="00473B75">
            <w:pPr>
              <w:pStyle w:val="NormalWeb"/>
              <w:spacing w:before="0" w:beforeAutospacing="0" w:after="0" w:afterAutospacing="0"/>
              <w:rPr>
                <w:rFonts w:ascii="Arial" w:hAnsi="Arial" w:cs="Arial"/>
                <w:sz w:val="20"/>
                <w:szCs w:val="20"/>
              </w:rPr>
            </w:pPr>
          </w:p>
        </w:tc>
      </w:tr>
      <w:tr w:rsidR="00473B75" w:rsidRPr="00473B75" w14:paraId="206320CE" w14:textId="77777777" w:rsidTr="00473B75">
        <w:trPr>
          <w:cantSplit/>
        </w:trPr>
        <w:tc>
          <w:tcPr>
            <w:tcW w:w="4225" w:type="dxa"/>
            <w:vAlign w:val="top"/>
            <w:hideMark/>
          </w:tcPr>
          <w:p w14:paraId="590BA263" w14:textId="4B18DC1E" w:rsidR="00473B75" w:rsidRPr="00473B75" w:rsidRDefault="00473B75" w:rsidP="00473B75">
            <w:pPr>
              <w:ind w:left="0"/>
              <w:rPr>
                <w:szCs w:val="20"/>
              </w:rPr>
            </w:pPr>
            <w:r w:rsidRPr="00473B75">
              <w:rPr>
                <w:szCs w:val="20"/>
              </w:rPr>
              <w:t>1.3 Demonstrates awareness of key learning progressions:</w:t>
            </w:r>
          </w:p>
          <w:p w14:paraId="2E619E30" w14:textId="77777777" w:rsidR="00473B75" w:rsidRPr="00473B75" w:rsidRDefault="00473B75" w:rsidP="00473B75">
            <w:pPr>
              <w:ind w:left="0"/>
              <w:rPr>
                <w:szCs w:val="20"/>
              </w:rPr>
            </w:pPr>
            <w:r w:rsidRPr="00473B75">
              <w:rPr>
                <w:szCs w:val="20"/>
              </w:rPr>
              <w:t>a. In K-6, they build number sense, including:</w:t>
            </w:r>
          </w:p>
          <w:p w14:paraId="71FE5254" w14:textId="77777777" w:rsidR="00473B75" w:rsidRPr="00473B75" w:rsidRDefault="00473B75" w:rsidP="00473B75">
            <w:pPr>
              <w:pStyle w:val="ListParagraph"/>
              <w:numPr>
                <w:ilvl w:val="0"/>
                <w:numId w:val="3"/>
              </w:numPr>
              <w:rPr>
                <w:szCs w:val="20"/>
              </w:rPr>
            </w:pPr>
            <w:r w:rsidRPr="00473B75">
              <w:rPr>
                <w:szCs w:val="20"/>
              </w:rPr>
              <w:t>Subitizing</w:t>
            </w:r>
          </w:p>
          <w:p w14:paraId="44A957E0" w14:textId="203A1586" w:rsidR="00473B75" w:rsidRPr="00473B75" w:rsidRDefault="00473B75" w:rsidP="00473B75">
            <w:pPr>
              <w:pStyle w:val="ListParagraph"/>
              <w:numPr>
                <w:ilvl w:val="0"/>
                <w:numId w:val="3"/>
              </w:numPr>
              <w:rPr>
                <w:szCs w:val="20"/>
              </w:rPr>
            </w:pPr>
            <w:r w:rsidRPr="00473B75">
              <w:rPr>
                <w:szCs w:val="20"/>
              </w:rPr>
              <w:t>Cardinality</w:t>
            </w:r>
          </w:p>
          <w:p w14:paraId="2F9D13DA" w14:textId="77777777" w:rsidR="00473B75" w:rsidRPr="00473B75" w:rsidRDefault="00473B75" w:rsidP="00473B75">
            <w:pPr>
              <w:pStyle w:val="ListParagraph"/>
              <w:numPr>
                <w:ilvl w:val="0"/>
                <w:numId w:val="3"/>
              </w:numPr>
              <w:rPr>
                <w:szCs w:val="20"/>
              </w:rPr>
            </w:pPr>
            <w:r w:rsidRPr="00473B75">
              <w:rPr>
                <w:szCs w:val="20"/>
              </w:rPr>
              <w:t>Object counting</w:t>
            </w:r>
          </w:p>
          <w:p w14:paraId="380F661E" w14:textId="77777777" w:rsidR="00473B75" w:rsidRPr="00473B75" w:rsidRDefault="00473B75" w:rsidP="00473B75">
            <w:pPr>
              <w:pStyle w:val="ListParagraph"/>
              <w:numPr>
                <w:ilvl w:val="0"/>
                <w:numId w:val="3"/>
              </w:numPr>
              <w:rPr>
                <w:szCs w:val="20"/>
              </w:rPr>
            </w:pPr>
            <w:r w:rsidRPr="00473B75">
              <w:rPr>
                <w:szCs w:val="20"/>
              </w:rPr>
              <w:t>Verbal counting</w:t>
            </w:r>
          </w:p>
          <w:p w14:paraId="41CD5129" w14:textId="6F5880E8" w:rsidR="00473B75" w:rsidRPr="00473B75" w:rsidRDefault="00473B75" w:rsidP="00473B75">
            <w:pPr>
              <w:pStyle w:val="ListParagraph"/>
              <w:numPr>
                <w:ilvl w:val="0"/>
                <w:numId w:val="3"/>
              </w:numPr>
              <w:rPr>
                <w:szCs w:val="20"/>
              </w:rPr>
            </w:pPr>
            <w:r w:rsidRPr="00473B75">
              <w:rPr>
                <w:szCs w:val="20"/>
              </w:rPr>
              <w:t>Spatial relationships and use of</w:t>
            </w:r>
          </w:p>
          <w:p w14:paraId="7CAF5793" w14:textId="77777777" w:rsidR="00473B75" w:rsidRPr="00473B75" w:rsidRDefault="00473B75" w:rsidP="00473B75">
            <w:pPr>
              <w:pStyle w:val="ListParagraph"/>
              <w:numPr>
                <w:ilvl w:val="0"/>
                <w:numId w:val="3"/>
              </w:numPr>
              <w:rPr>
                <w:szCs w:val="20"/>
              </w:rPr>
            </w:pPr>
            <w:r w:rsidRPr="00473B75">
              <w:rPr>
                <w:szCs w:val="20"/>
              </w:rPr>
              <w:t>Benchmark numbers (e.g., 5 and 10)</w:t>
            </w:r>
          </w:p>
          <w:p w14:paraId="6DBF9FC1" w14:textId="13C1438B" w:rsidR="00473B75" w:rsidRPr="00473B75" w:rsidRDefault="00473B75" w:rsidP="00473B75">
            <w:pPr>
              <w:pStyle w:val="ListParagraph"/>
              <w:numPr>
                <w:ilvl w:val="0"/>
                <w:numId w:val="3"/>
              </w:numPr>
              <w:rPr>
                <w:szCs w:val="20"/>
              </w:rPr>
            </w:pPr>
            <w:r w:rsidRPr="00473B75">
              <w:rPr>
                <w:szCs w:val="20"/>
              </w:rPr>
              <w:t>Part–part–whole reasoning</w:t>
            </w:r>
          </w:p>
          <w:p w14:paraId="6B60AAF8" w14:textId="77777777" w:rsidR="00473B75" w:rsidRPr="00473B75" w:rsidRDefault="00473B75" w:rsidP="00473B75">
            <w:pPr>
              <w:ind w:left="0"/>
              <w:rPr>
                <w:szCs w:val="20"/>
              </w:rPr>
            </w:pPr>
            <w:r w:rsidRPr="00473B75">
              <w:rPr>
                <w:szCs w:val="20"/>
              </w:rPr>
              <w:t>b. In 6-12, that builds number and algebraic reasoning, including:</w:t>
            </w:r>
          </w:p>
          <w:p w14:paraId="768BCFAC" w14:textId="57D70202" w:rsidR="00473B75" w:rsidRPr="00473B75" w:rsidRDefault="00473B75" w:rsidP="00473B75">
            <w:pPr>
              <w:pStyle w:val="ListParagraph"/>
              <w:numPr>
                <w:ilvl w:val="0"/>
                <w:numId w:val="4"/>
              </w:numPr>
              <w:rPr>
                <w:szCs w:val="20"/>
              </w:rPr>
            </w:pPr>
            <w:r w:rsidRPr="00473B75">
              <w:rPr>
                <w:szCs w:val="20"/>
              </w:rPr>
              <w:t>Rational Numbers</w:t>
            </w:r>
          </w:p>
          <w:p w14:paraId="6CAAE2C2" w14:textId="6E74EE5A" w:rsidR="00473B75" w:rsidRPr="00473B75" w:rsidRDefault="00473B75" w:rsidP="00473B75">
            <w:pPr>
              <w:pStyle w:val="ListParagraph"/>
              <w:numPr>
                <w:ilvl w:val="0"/>
                <w:numId w:val="4"/>
              </w:numPr>
              <w:rPr>
                <w:szCs w:val="20"/>
              </w:rPr>
            </w:pPr>
            <w:r w:rsidRPr="00473B75">
              <w:rPr>
                <w:szCs w:val="20"/>
              </w:rPr>
              <w:t>Proportional Relationships</w:t>
            </w:r>
          </w:p>
          <w:p w14:paraId="72CA0E41" w14:textId="16E8D48E" w:rsidR="00473B75" w:rsidRPr="00473B75" w:rsidRDefault="00473B75" w:rsidP="00473B75">
            <w:pPr>
              <w:pStyle w:val="ListParagraph"/>
              <w:numPr>
                <w:ilvl w:val="0"/>
                <w:numId w:val="4"/>
              </w:numPr>
              <w:rPr>
                <w:szCs w:val="20"/>
              </w:rPr>
            </w:pPr>
            <w:r w:rsidRPr="00473B75">
              <w:rPr>
                <w:szCs w:val="20"/>
              </w:rPr>
              <w:t>Expressions and Equations</w:t>
            </w:r>
          </w:p>
          <w:p w14:paraId="4C91D577" w14:textId="7D2F07C0" w:rsidR="00473B75" w:rsidRPr="00473B75" w:rsidRDefault="00473B75" w:rsidP="00473B75">
            <w:pPr>
              <w:pStyle w:val="ListParagraph"/>
              <w:numPr>
                <w:ilvl w:val="0"/>
                <w:numId w:val="4"/>
              </w:numPr>
              <w:rPr>
                <w:szCs w:val="20"/>
              </w:rPr>
            </w:pPr>
            <w:r w:rsidRPr="00473B75">
              <w:rPr>
                <w:szCs w:val="20"/>
              </w:rPr>
              <w:t>Functions</w:t>
            </w:r>
          </w:p>
          <w:p w14:paraId="11B707D5" w14:textId="77777777" w:rsidR="00473B75" w:rsidRPr="00473B75" w:rsidRDefault="00473B75" w:rsidP="00473B75">
            <w:pPr>
              <w:pStyle w:val="ListParagraph"/>
              <w:numPr>
                <w:ilvl w:val="0"/>
                <w:numId w:val="4"/>
              </w:numPr>
              <w:rPr>
                <w:szCs w:val="20"/>
              </w:rPr>
            </w:pPr>
            <w:r w:rsidRPr="00473B75">
              <w:rPr>
                <w:szCs w:val="20"/>
              </w:rPr>
              <w:t>Structure of the Real Number System</w:t>
            </w:r>
          </w:p>
        </w:tc>
        <w:tc>
          <w:tcPr>
            <w:tcW w:w="2790" w:type="dxa"/>
            <w:vAlign w:val="top"/>
            <w:hideMark/>
          </w:tcPr>
          <w:p w14:paraId="35B42270" w14:textId="77777777" w:rsidR="00473B75" w:rsidRPr="00473B75" w:rsidRDefault="00473B75" w:rsidP="00473B75">
            <w:pPr>
              <w:ind w:left="0"/>
              <w:rPr>
                <w:szCs w:val="20"/>
              </w:rPr>
            </w:pPr>
          </w:p>
        </w:tc>
        <w:tc>
          <w:tcPr>
            <w:tcW w:w="1370" w:type="dxa"/>
            <w:vAlign w:val="top"/>
            <w:hideMark/>
          </w:tcPr>
          <w:p w14:paraId="5A99F508" w14:textId="77777777" w:rsidR="00473B75" w:rsidRPr="00473B75" w:rsidRDefault="00473B75" w:rsidP="00473B75">
            <w:pPr>
              <w:ind w:left="0"/>
              <w:rPr>
                <w:szCs w:val="20"/>
              </w:rPr>
            </w:pPr>
          </w:p>
        </w:tc>
        <w:tc>
          <w:tcPr>
            <w:tcW w:w="2415" w:type="dxa"/>
            <w:vAlign w:val="top"/>
            <w:hideMark/>
          </w:tcPr>
          <w:p w14:paraId="57BE06C8" w14:textId="40C5DFF3" w:rsidR="00473B75" w:rsidRPr="00473B75" w:rsidRDefault="00473B75" w:rsidP="00473B75">
            <w:pPr>
              <w:ind w:left="0"/>
              <w:rPr>
                <w:szCs w:val="20"/>
              </w:rPr>
            </w:pPr>
          </w:p>
        </w:tc>
      </w:tr>
    </w:tbl>
    <w:p w14:paraId="15EE4DF7" w14:textId="47DAE1F7" w:rsidR="00473B75" w:rsidRDefault="00473B75" w:rsidP="00473B75"/>
    <w:p w14:paraId="331B9F5E" w14:textId="77777777" w:rsidR="00473B75" w:rsidRDefault="00473B75">
      <w:pPr>
        <w:ind w:left="0"/>
      </w:pPr>
      <w:r>
        <w:br w:type="page"/>
      </w:r>
    </w:p>
    <w:p w14:paraId="7231A903" w14:textId="77777777" w:rsidR="00EB6C01" w:rsidRPr="00473B75" w:rsidRDefault="00EB6C01" w:rsidP="00473B75">
      <w:pPr>
        <w:pStyle w:val="Heading2"/>
      </w:pPr>
      <w:r w:rsidRPr="00473B75">
        <w:lastRenderedPageBreak/>
        <w:t>Domain 2: Instructional Practices for Diverse Learners – “The Who”</w:t>
      </w:r>
    </w:p>
    <w:tbl>
      <w:tblPr>
        <w:tblStyle w:val="DefaultEducation"/>
        <w:tblW w:w="10800" w:type="dxa"/>
        <w:tblLook w:val="04A0" w:firstRow="1" w:lastRow="0" w:firstColumn="1" w:lastColumn="0" w:noHBand="0" w:noVBand="1"/>
      </w:tblPr>
      <w:tblGrid>
        <w:gridCol w:w="4216"/>
        <w:gridCol w:w="2799"/>
        <w:gridCol w:w="1350"/>
        <w:gridCol w:w="2435"/>
      </w:tblGrid>
      <w:tr w:rsidR="00EB6C01" w:rsidRPr="00473B75" w14:paraId="1A4EF55A" w14:textId="77777777" w:rsidTr="00772011">
        <w:trPr>
          <w:cnfStyle w:val="100000000000" w:firstRow="1" w:lastRow="0" w:firstColumn="0" w:lastColumn="0" w:oddVBand="0" w:evenVBand="0" w:oddHBand="0" w:evenHBand="0" w:firstRowFirstColumn="0" w:firstRowLastColumn="0" w:lastRowFirstColumn="0" w:lastRowLastColumn="0"/>
          <w:cantSplit/>
          <w:tblHeader/>
        </w:trPr>
        <w:tc>
          <w:tcPr>
            <w:tcW w:w="0" w:type="auto"/>
            <w:hideMark/>
          </w:tcPr>
          <w:p w14:paraId="762DBF57" w14:textId="77777777" w:rsidR="00EB6C01" w:rsidRPr="00473B75" w:rsidRDefault="00EB6C01" w:rsidP="00473B75">
            <w:pPr>
              <w:pStyle w:val="TableHeading"/>
              <w:jc w:val="center"/>
              <w:rPr>
                <w:b/>
              </w:rPr>
            </w:pPr>
            <w:r w:rsidRPr="00473B75">
              <w:rPr>
                <w:b/>
              </w:rPr>
              <w:t>Criteria and Key Performance Area</w:t>
            </w:r>
          </w:p>
        </w:tc>
        <w:tc>
          <w:tcPr>
            <w:tcW w:w="2799" w:type="dxa"/>
            <w:hideMark/>
          </w:tcPr>
          <w:p w14:paraId="54125222" w14:textId="77777777" w:rsidR="00EB6C01" w:rsidRPr="00473B75" w:rsidRDefault="00EB6C01" w:rsidP="00473B75">
            <w:pPr>
              <w:pStyle w:val="TableHeading"/>
              <w:jc w:val="center"/>
              <w:rPr>
                <w:b/>
              </w:rPr>
            </w:pPr>
            <w:r w:rsidRPr="00473B75">
              <w:rPr>
                <w:b/>
              </w:rPr>
              <w:t>Curriculum Written Evaluation and Evidence for Performance Indicators of Candidate Competency</w:t>
            </w:r>
          </w:p>
        </w:tc>
        <w:tc>
          <w:tcPr>
            <w:tcW w:w="1350" w:type="dxa"/>
            <w:hideMark/>
          </w:tcPr>
          <w:p w14:paraId="5DE5C0FC" w14:textId="77777777" w:rsidR="00EB6C01" w:rsidRPr="00473B75" w:rsidRDefault="00EB6C01" w:rsidP="00473B75">
            <w:pPr>
              <w:pStyle w:val="TableHeading"/>
              <w:jc w:val="center"/>
              <w:rPr>
                <w:b/>
              </w:rPr>
            </w:pPr>
            <w:r w:rsidRPr="00473B75">
              <w:rPr>
                <w:b/>
              </w:rPr>
              <w:t>Files</w:t>
            </w:r>
          </w:p>
        </w:tc>
        <w:tc>
          <w:tcPr>
            <w:tcW w:w="2435" w:type="dxa"/>
            <w:hideMark/>
          </w:tcPr>
          <w:p w14:paraId="52296D32" w14:textId="2507B2A3" w:rsidR="00EB6C01" w:rsidRPr="00473B75" w:rsidRDefault="00EB6C01" w:rsidP="00473B75">
            <w:pPr>
              <w:pStyle w:val="TableHeading"/>
              <w:jc w:val="center"/>
              <w:rPr>
                <w:b/>
              </w:rPr>
            </w:pPr>
            <w:r w:rsidRPr="00473B75">
              <w:rPr>
                <w:b/>
              </w:rPr>
              <w:t>Self</w:t>
            </w:r>
            <w:r w:rsidR="00AA1298" w:rsidRPr="00473B75">
              <w:rPr>
                <w:b/>
              </w:rPr>
              <w:t>-</w:t>
            </w:r>
            <w:r w:rsidRPr="00473B75">
              <w:rPr>
                <w:b/>
              </w:rPr>
              <w:t>Rating (based on rubrics in Workbook section 2)</w:t>
            </w:r>
          </w:p>
        </w:tc>
      </w:tr>
      <w:tr w:rsidR="00473B75" w:rsidRPr="00473B75" w14:paraId="2846F795" w14:textId="77777777" w:rsidTr="00772011">
        <w:trPr>
          <w:cantSplit/>
        </w:trPr>
        <w:tc>
          <w:tcPr>
            <w:tcW w:w="0" w:type="auto"/>
            <w:vAlign w:val="top"/>
            <w:hideMark/>
          </w:tcPr>
          <w:p w14:paraId="62273D88" w14:textId="77777777" w:rsidR="00473B75" w:rsidRPr="00473B75" w:rsidRDefault="00473B75" w:rsidP="00473B75">
            <w:pPr>
              <w:ind w:left="0"/>
              <w:rPr>
                <w:szCs w:val="20"/>
              </w:rPr>
            </w:pPr>
            <w:r w:rsidRPr="00473B75">
              <w:rPr>
                <w:szCs w:val="20"/>
              </w:rPr>
              <w:t>2.1 Understands and responds to students’ culture, language, identity, learner differences, and lived experiences that shape their mathematical thinking.</w:t>
            </w:r>
          </w:p>
        </w:tc>
        <w:tc>
          <w:tcPr>
            <w:tcW w:w="2799" w:type="dxa"/>
            <w:vAlign w:val="top"/>
            <w:hideMark/>
          </w:tcPr>
          <w:p w14:paraId="16708152" w14:textId="77777777" w:rsidR="00473B75" w:rsidRPr="00473B75" w:rsidRDefault="00473B75" w:rsidP="00473B75">
            <w:pPr>
              <w:ind w:left="0"/>
              <w:rPr>
                <w:szCs w:val="20"/>
              </w:rPr>
            </w:pPr>
          </w:p>
        </w:tc>
        <w:tc>
          <w:tcPr>
            <w:tcW w:w="1350" w:type="dxa"/>
            <w:vAlign w:val="top"/>
            <w:hideMark/>
          </w:tcPr>
          <w:p w14:paraId="751DE461" w14:textId="77777777" w:rsidR="00473B75" w:rsidRPr="00473B75" w:rsidRDefault="00473B75" w:rsidP="00473B75">
            <w:pPr>
              <w:ind w:left="0"/>
              <w:rPr>
                <w:szCs w:val="20"/>
              </w:rPr>
            </w:pPr>
          </w:p>
        </w:tc>
        <w:tc>
          <w:tcPr>
            <w:tcW w:w="2435" w:type="dxa"/>
            <w:vAlign w:val="top"/>
            <w:hideMark/>
          </w:tcPr>
          <w:p w14:paraId="16CF42EB" w14:textId="77777777" w:rsidR="00473B75" w:rsidRPr="00473B75" w:rsidRDefault="00473B75" w:rsidP="00473B75">
            <w:pPr>
              <w:pStyle w:val="NormalWeb"/>
              <w:spacing w:before="0" w:beforeAutospacing="0" w:after="0" w:afterAutospacing="0"/>
              <w:rPr>
                <w:rFonts w:ascii="Arial" w:hAnsi="Arial" w:cs="Arial"/>
                <w:sz w:val="20"/>
                <w:szCs w:val="20"/>
              </w:rPr>
            </w:pPr>
          </w:p>
        </w:tc>
      </w:tr>
      <w:tr w:rsidR="00473B75" w:rsidRPr="00473B75" w14:paraId="0F6E4441" w14:textId="77777777" w:rsidTr="00772011">
        <w:trPr>
          <w:cantSplit/>
        </w:trPr>
        <w:tc>
          <w:tcPr>
            <w:tcW w:w="0" w:type="auto"/>
            <w:vAlign w:val="top"/>
            <w:hideMark/>
          </w:tcPr>
          <w:p w14:paraId="4594CA2C" w14:textId="77777777" w:rsidR="00473B75" w:rsidRPr="00473B75" w:rsidRDefault="00473B75" w:rsidP="00473B75">
            <w:pPr>
              <w:ind w:left="0"/>
              <w:rPr>
                <w:szCs w:val="20"/>
              </w:rPr>
            </w:pPr>
            <w:r w:rsidRPr="00473B75">
              <w:rPr>
                <w:szCs w:val="20"/>
              </w:rPr>
              <w:t>2.2 Integrates developmentally appropriate, evidence-based supports for students with disabilities and those identified as needing intervention in mathematics.</w:t>
            </w:r>
          </w:p>
        </w:tc>
        <w:tc>
          <w:tcPr>
            <w:tcW w:w="2799" w:type="dxa"/>
            <w:vAlign w:val="top"/>
            <w:hideMark/>
          </w:tcPr>
          <w:p w14:paraId="781CD8EA" w14:textId="77777777" w:rsidR="00473B75" w:rsidRPr="00473B75" w:rsidRDefault="00473B75" w:rsidP="00473B75">
            <w:pPr>
              <w:ind w:left="0"/>
              <w:rPr>
                <w:szCs w:val="20"/>
              </w:rPr>
            </w:pPr>
          </w:p>
        </w:tc>
        <w:tc>
          <w:tcPr>
            <w:tcW w:w="1350" w:type="dxa"/>
            <w:vAlign w:val="top"/>
            <w:hideMark/>
          </w:tcPr>
          <w:p w14:paraId="05BA8E89" w14:textId="77777777" w:rsidR="00473B75" w:rsidRPr="00473B75" w:rsidRDefault="00473B75" w:rsidP="00473B75">
            <w:pPr>
              <w:ind w:left="0"/>
              <w:rPr>
                <w:szCs w:val="20"/>
              </w:rPr>
            </w:pPr>
          </w:p>
        </w:tc>
        <w:tc>
          <w:tcPr>
            <w:tcW w:w="2435" w:type="dxa"/>
            <w:vAlign w:val="top"/>
            <w:hideMark/>
          </w:tcPr>
          <w:p w14:paraId="60FAC541" w14:textId="77777777" w:rsidR="00473B75" w:rsidRPr="00473B75" w:rsidRDefault="00473B75" w:rsidP="00473B75">
            <w:pPr>
              <w:pStyle w:val="NormalWeb"/>
              <w:spacing w:before="0" w:beforeAutospacing="0" w:after="0" w:afterAutospacing="0"/>
              <w:rPr>
                <w:rFonts w:ascii="Arial" w:hAnsi="Arial" w:cs="Arial"/>
                <w:sz w:val="20"/>
                <w:szCs w:val="20"/>
              </w:rPr>
            </w:pPr>
          </w:p>
        </w:tc>
      </w:tr>
      <w:tr w:rsidR="00473B75" w:rsidRPr="00473B75" w14:paraId="6B178EAF" w14:textId="77777777" w:rsidTr="00772011">
        <w:trPr>
          <w:cantSplit/>
        </w:trPr>
        <w:tc>
          <w:tcPr>
            <w:tcW w:w="0" w:type="auto"/>
            <w:vAlign w:val="top"/>
            <w:hideMark/>
          </w:tcPr>
          <w:p w14:paraId="143D2BD6" w14:textId="77777777" w:rsidR="00473B75" w:rsidRPr="00473B75" w:rsidRDefault="00473B75" w:rsidP="00473B75">
            <w:pPr>
              <w:ind w:left="0"/>
              <w:rPr>
                <w:szCs w:val="20"/>
              </w:rPr>
            </w:pPr>
            <w:r w:rsidRPr="00473B75">
              <w:rPr>
                <w:szCs w:val="20"/>
              </w:rPr>
              <w:t>2.3 Demonstrates a commitment to high expectations for all students.</w:t>
            </w:r>
          </w:p>
        </w:tc>
        <w:tc>
          <w:tcPr>
            <w:tcW w:w="2799" w:type="dxa"/>
            <w:vAlign w:val="top"/>
            <w:hideMark/>
          </w:tcPr>
          <w:p w14:paraId="09C76964" w14:textId="77777777" w:rsidR="00473B75" w:rsidRPr="00473B75" w:rsidRDefault="00473B75" w:rsidP="00473B75">
            <w:pPr>
              <w:ind w:left="0"/>
              <w:rPr>
                <w:szCs w:val="20"/>
              </w:rPr>
            </w:pPr>
          </w:p>
        </w:tc>
        <w:tc>
          <w:tcPr>
            <w:tcW w:w="1350" w:type="dxa"/>
            <w:vAlign w:val="top"/>
            <w:hideMark/>
          </w:tcPr>
          <w:p w14:paraId="4222E118" w14:textId="77777777" w:rsidR="00473B75" w:rsidRPr="00473B75" w:rsidRDefault="00473B75" w:rsidP="00473B75">
            <w:pPr>
              <w:ind w:left="0"/>
              <w:rPr>
                <w:szCs w:val="20"/>
              </w:rPr>
            </w:pPr>
          </w:p>
        </w:tc>
        <w:tc>
          <w:tcPr>
            <w:tcW w:w="2435" w:type="dxa"/>
            <w:vAlign w:val="top"/>
            <w:hideMark/>
          </w:tcPr>
          <w:p w14:paraId="4F221F4C" w14:textId="77777777" w:rsidR="00473B75" w:rsidRPr="00473B75" w:rsidRDefault="00473B75" w:rsidP="00473B75">
            <w:pPr>
              <w:pStyle w:val="NormalWeb"/>
              <w:spacing w:before="0" w:beforeAutospacing="0" w:after="0" w:afterAutospacing="0"/>
              <w:rPr>
                <w:rFonts w:ascii="Arial" w:hAnsi="Arial" w:cs="Arial"/>
                <w:sz w:val="20"/>
                <w:szCs w:val="20"/>
              </w:rPr>
            </w:pPr>
          </w:p>
        </w:tc>
      </w:tr>
    </w:tbl>
    <w:p w14:paraId="01C9B4E2" w14:textId="77777777" w:rsidR="009C4471" w:rsidRDefault="009C4471" w:rsidP="00473B75"/>
    <w:p w14:paraId="322CE565" w14:textId="77777777" w:rsidR="00EB6C01" w:rsidRPr="00EB6C01" w:rsidRDefault="00EB6C01" w:rsidP="00772011">
      <w:pPr>
        <w:pStyle w:val="Heading2"/>
      </w:pPr>
      <w:r w:rsidRPr="00772011">
        <w:t>Domain</w:t>
      </w:r>
      <w:r w:rsidRPr="00EB6C01">
        <w:t xml:space="preserve"> 3: Structured Mathematics Instruction – “The How”</w:t>
      </w:r>
    </w:p>
    <w:tbl>
      <w:tblPr>
        <w:tblStyle w:val="DefaultEducation"/>
        <w:tblW w:w="10800" w:type="dxa"/>
        <w:tblLook w:val="04A0" w:firstRow="1" w:lastRow="0" w:firstColumn="1" w:lastColumn="0" w:noHBand="0" w:noVBand="1"/>
      </w:tblPr>
      <w:tblGrid>
        <w:gridCol w:w="4225"/>
        <w:gridCol w:w="2790"/>
        <w:gridCol w:w="1350"/>
        <w:gridCol w:w="2435"/>
      </w:tblGrid>
      <w:tr w:rsidR="00EB6C01" w:rsidRPr="00772011" w14:paraId="322A995A" w14:textId="77777777" w:rsidTr="00772011">
        <w:trPr>
          <w:cnfStyle w:val="100000000000" w:firstRow="1" w:lastRow="0" w:firstColumn="0" w:lastColumn="0" w:oddVBand="0" w:evenVBand="0" w:oddHBand="0" w:evenHBand="0" w:firstRowFirstColumn="0" w:firstRowLastColumn="0" w:lastRowFirstColumn="0" w:lastRowLastColumn="0"/>
          <w:cantSplit/>
          <w:tblHeader/>
        </w:trPr>
        <w:tc>
          <w:tcPr>
            <w:tcW w:w="4225" w:type="dxa"/>
            <w:hideMark/>
          </w:tcPr>
          <w:p w14:paraId="7F691C5F" w14:textId="77777777" w:rsidR="00EB6C01" w:rsidRPr="00772011" w:rsidRDefault="00EB6C01" w:rsidP="00772011">
            <w:pPr>
              <w:pStyle w:val="TableHeading"/>
              <w:jc w:val="center"/>
              <w:rPr>
                <w:b/>
              </w:rPr>
            </w:pPr>
            <w:r w:rsidRPr="00772011">
              <w:rPr>
                <w:b/>
              </w:rPr>
              <w:t>Criteria and Key Performance Area</w:t>
            </w:r>
          </w:p>
        </w:tc>
        <w:tc>
          <w:tcPr>
            <w:tcW w:w="2790" w:type="dxa"/>
            <w:hideMark/>
          </w:tcPr>
          <w:p w14:paraId="7E7260B1" w14:textId="77777777" w:rsidR="00EB6C01" w:rsidRPr="00772011" w:rsidRDefault="00EB6C01" w:rsidP="00772011">
            <w:pPr>
              <w:pStyle w:val="TableHeading"/>
              <w:jc w:val="center"/>
              <w:rPr>
                <w:b/>
              </w:rPr>
            </w:pPr>
            <w:r w:rsidRPr="00772011">
              <w:rPr>
                <w:b/>
              </w:rPr>
              <w:t>Curriculum Written Evaluation and Evidence for Performance Indicators of Candidate Competency</w:t>
            </w:r>
          </w:p>
        </w:tc>
        <w:tc>
          <w:tcPr>
            <w:tcW w:w="1350" w:type="dxa"/>
            <w:hideMark/>
          </w:tcPr>
          <w:p w14:paraId="04F473FE" w14:textId="77777777" w:rsidR="00EB6C01" w:rsidRPr="00772011" w:rsidRDefault="00EB6C01" w:rsidP="00772011">
            <w:pPr>
              <w:pStyle w:val="TableHeading"/>
              <w:jc w:val="center"/>
              <w:rPr>
                <w:b/>
              </w:rPr>
            </w:pPr>
            <w:r w:rsidRPr="00772011">
              <w:rPr>
                <w:b/>
              </w:rPr>
              <w:t>Files</w:t>
            </w:r>
          </w:p>
        </w:tc>
        <w:tc>
          <w:tcPr>
            <w:tcW w:w="2435" w:type="dxa"/>
            <w:hideMark/>
          </w:tcPr>
          <w:p w14:paraId="31129D55" w14:textId="17014435" w:rsidR="00EB6C01" w:rsidRPr="00772011" w:rsidRDefault="00EB6C01" w:rsidP="00772011">
            <w:pPr>
              <w:pStyle w:val="TableHeading"/>
              <w:jc w:val="center"/>
              <w:rPr>
                <w:b/>
              </w:rPr>
            </w:pPr>
            <w:r w:rsidRPr="00772011">
              <w:rPr>
                <w:b/>
              </w:rPr>
              <w:t>Self</w:t>
            </w:r>
            <w:r w:rsidR="00A853AD" w:rsidRPr="00772011">
              <w:rPr>
                <w:b/>
              </w:rPr>
              <w:t>-</w:t>
            </w:r>
            <w:r w:rsidRPr="00772011">
              <w:rPr>
                <w:b/>
              </w:rPr>
              <w:t>Rating (based on rubrics in Workbook section 2)</w:t>
            </w:r>
          </w:p>
        </w:tc>
      </w:tr>
      <w:tr w:rsidR="00EB6C01" w:rsidRPr="00772011" w14:paraId="5938BB4D" w14:textId="77777777" w:rsidTr="00772011">
        <w:trPr>
          <w:cantSplit/>
        </w:trPr>
        <w:tc>
          <w:tcPr>
            <w:tcW w:w="4225" w:type="dxa"/>
            <w:vAlign w:val="top"/>
            <w:hideMark/>
          </w:tcPr>
          <w:p w14:paraId="2749D283" w14:textId="77777777" w:rsidR="00EB6C01" w:rsidRPr="00772011" w:rsidRDefault="00EB6C01" w:rsidP="00772011">
            <w:pPr>
              <w:ind w:left="0"/>
              <w:rPr>
                <w:szCs w:val="20"/>
              </w:rPr>
            </w:pPr>
            <w:r w:rsidRPr="00772011">
              <w:rPr>
                <w:szCs w:val="20"/>
              </w:rPr>
              <w:t>3.1 Establish mathematics goals to focus learning. Effective teaching of mathematics establishes clear goals for the mathematics that students are learning, situates these goals within learning progressions, and uses them to guide instructional decisions.</w:t>
            </w:r>
          </w:p>
        </w:tc>
        <w:tc>
          <w:tcPr>
            <w:tcW w:w="2790" w:type="dxa"/>
            <w:vAlign w:val="top"/>
            <w:hideMark/>
          </w:tcPr>
          <w:p w14:paraId="561DA3A3" w14:textId="77777777" w:rsidR="00EB6C01" w:rsidRPr="00772011" w:rsidRDefault="00EB6C01" w:rsidP="00772011">
            <w:pPr>
              <w:ind w:left="0"/>
              <w:rPr>
                <w:szCs w:val="20"/>
              </w:rPr>
            </w:pPr>
          </w:p>
        </w:tc>
        <w:tc>
          <w:tcPr>
            <w:tcW w:w="1350" w:type="dxa"/>
            <w:vAlign w:val="top"/>
            <w:hideMark/>
          </w:tcPr>
          <w:p w14:paraId="4A1B78F5" w14:textId="77777777" w:rsidR="00EB6C01" w:rsidRPr="00772011" w:rsidRDefault="00EB6C01" w:rsidP="00772011">
            <w:pPr>
              <w:ind w:left="0"/>
              <w:rPr>
                <w:szCs w:val="20"/>
              </w:rPr>
            </w:pPr>
          </w:p>
        </w:tc>
        <w:tc>
          <w:tcPr>
            <w:tcW w:w="2435" w:type="dxa"/>
            <w:vAlign w:val="top"/>
            <w:hideMark/>
          </w:tcPr>
          <w:p w14:paraId="1AFC398E"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2D3451AD" w14:textId="77777777" w:rsidTr="00772011">
        <w:trPr>
          <w:cantSplit/>
        </w:trPr>
        <w:tc>
          <w:tcPr>
            <w:tcW w:w="4225" w:type="dxa"/>
            <w:vAlign w:val="top"/>
            <w:hideMark/>
          </w:tcPr>
          <w:p w14:paraId="70765415" w14:textId="77777777" w:rsidR="00EB6C01" w:rsidRPr="00772011" w:rsidRDefault="00EB6C01" w:rsidP="00772011">
            <w:pPr>
              <w:ind w:left="0"/>
              <w:rPr>
                <w:szCs w:val="20"/>
              </w:rPr>
            </w:pPr>
            <w:r w:rsidRPr="00772011">
              <w:rPr>
                <w:szCs w:val="20"/>
              </w:rPr>
              <w:t>3.2 Implement tasks that promote reasoning and problem solving. Effective teaching of mathematics engages students in solving and discussing tasks that promote mathematical reasoning and problem-solving, allowing multiple entry points and varied solution strategies.</w:t>
            </w:r>
          </w:p>
        </w:tc>
        <w:tc>
          <w:tcPr>
            <w:tcW w:w="2790" w:type="dxa"/>
            <w:vAlign w:val="top"/>
            <w:hideMark/>
          </w:tcPr>
          <w:p w14:paraId="0684A50A" w14:textId="77777777" w:rsidR="00EB6C01" w:rsidRPr="00772011" w:rsidRDefault="00EB6C01" w:rsidP="00772011">
            <w:pPr>
              <w:ind w:left="0"/>
              <w:rPr>
                <w:szCs w:val="20"/>
              </w:rPr>
            </w:pPr>
          </w:p>
        </w:tc>
        <w:tc>
          <w:tcPr>
            <w:tcW w:w="1350" w:type="dxa"/>
            <w:vAlign w:val="top"/>
            <w:hideMark/>
          </w:tcPr>
          <w:p w14:paraId="29BC2A67" w14:textId="77777777" w:rsidR="00EB6C01" w:rsidRPr="00772011" w:rsidRDefault="00EB6C01" w:rsidP="00772011">
            <w:pPr>
              <w:ind w:left="0"/>
              <w:rPr>
                <w:szCs w:val="20"/>
              </w:rPr>
            </w:pPr>
          </w:p>
        </w:tc>
        <w:tc>
          <w:tcPr>
            <w:tcW w:w="2435" w:type="dxa"/>
            <w:vAlign w:val="top"/>
            <w:hideMark/>
          </w:tcPr>
          <w:p w14:paraId="32B38CFB"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00A8853F" w14:textId="77777777" w:rsidTr="00772011">
        <w:trPr>
          <w:cantSplit/>
        </w:trPr>
        <w:tc>
          <w:tcPr>
            <w:tcW w:w="4225" w:type="dxa"/>
            <w:vAlign w:val="top"/>
            <w:hideMark/>
          </w:tcPr>
          <w:p w14:paraId="4B2E212E" w14:textId="77777777" w:rsidR="00EB6C01" w:rsidRPr="00772011" w:rsidRDefault="00EB6C01" w:rsidP="00772011">
            <w:pPr>
              <w:ind w:left="0"/>
              <w:rPr>
                <w:szCs w:val="20"/>
              </w:rPr>
            </w:pPr>
            <w:r w:rsidRPr="00772011">
              <w:rPr>
                <w:szCs w:val="20"/>
              </w:rPr>
              <w:t xml:space="preserve">3.3 Use and connect mathematical representations. Effective teaching of mathematics engages students in making connections among mathematical representations to deepen </w:t>
            </w:r>
            <w:r w:rsidR="00B57C56" w:rsidRPr="00772011">
              <w:rPr>
                <w:szCs w:val="20"/>
              </w:rPr>
              <w:t>their understanding of mathematical concepts and procedures, and as tools for problem-solving</w:t>
            </w:r>
            <w:r w:rsidRPr="00772011">
              <w:rPr>
                <w:szCs w:val="20"/>
              </w:rPr>
              <w:t>.</w:t>
            </w:r>
          </w:p>
        </w:tc>
        <w:tc>
          <w:tcPr>
            <w:tcW w:w="2790" w:type="dxa"/>
            <w:vAlign w:val="top"/>
            <w:hideMark/>
          </w:tcPr>
          <w:p w14:paraId="43BBB88E" w14:textId="77777777" w:rsidR="00EB6C01" w:rsidRPr="00772011" w:rsidRDefault="00EB6C01" w:rsidP="00772011">
            <w:pPr>
              <w:ind w:left="0"/>
              <w:rPr>
                <w:szCs w:val="20"/>
              </w:rPr>
            </w:pPr>
          </w:p>
        </w:tc>
        <w:tc>
          <w:tcPr>
            <w:tcW w:w="1350" w:type="dxa"/>
            <w:vAlign w:val="top"/>
            <w:hideMark/>
          </w:tcPr>
          <w:p w14:paraId="13A3E712" w14:textId="77777777" w:rsidR="00EB6C01" w:rsidRPr="00772011" w:rsidRDefault="00EB6C01" w:rsidP="00772011">
            <w:pPr>
              <w:ind w:left="0"/>
              <w:rPr>
                <w:szCs w:val="20"/>
              </w:rPr>
            </w:pPr>
          </w:p>
        </w:tc>
        <w:tc>
          <w:tcPr>
            <w:tcW w:w="2435" w:type="dxa"/>
            <w:vAlign w:val="top"/>
            <w:hideMark/>
          </w:tcPr>
          <w:p w14:paraId="11E45BF5"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4DF11175" w14:textId="77777777" w:rsidTr="00772011">
        <w:trPr>
          <w:cantSplit/>
        </w:trPr>
        <w:tc>
          <w:tcPr>
            <w:tcW w:w="4225" w:type="dxa"/>
            <w:vAlign w:val="top"/>
            <w:hideMark/>
          </w:tcPr>
          <w:p w14:paraId="5C0C810D" w14:textId="77777777" w:rsidR="00EB6C01" w:rsidRPr="00772011" w:rsidRDefault="00EB6C01" w:rsidP="00772011">
            <w:pPr>
              <w:ind w:left="0"/>
              <w:rPr>
                <w:szCs w:val="20"/>
              </w:rPr>
            </w:pPr>
            <w:r w:rsidRPr="00772011">
              <w:rPr>
                <w:szCs w:val="20"/>
              </w:rPr>
              <w:t>3.4 Facilitate meaningful mathematical discourse. Effective teaching of mathematics facilitates discourse among students, enabling them to build a shared understanding of mathematical ideas by analyzing and comparing their approaches and arguments.</w:t>
            </w:r>
          </w:p>
        </w:tc>
        <w:tc>
          <w:tcPr>
            <w:tcW w:w="2790" w:type="dxa"/>
            <w:vAlign w:val="top"/>
            <w:hideMark/>
          </w:tcPr>
          <w:p w14:paraId="66BFAE48" w14:textId="77777777" w:rsidR="00EB6C01" w:rsidRPr="00772011" w:rsidRDefault="00EB6C01" w:rsidP="00772011">
            <w:pPr>
              <w:rPr>
                <w:szCs w:val="20"/>
              </w:rPr>
            </w:pPr>
          </w:p>
        </w:tc>
        <w:tc>
          <w:tcPr>
            <w:tcW w:w="1350" w:type="dxa"/>
            <w:vAlign w:val="top"/>
            <w:hideMark/>
          </w:tcPr>
          <w:p w14:paraId="628DEE4D" w14:textId="77777777" w:rsidR="00EB6C01" w:rsidRPr="00772011" w:rsidRDefault="00EB6C01" w:rsidP="00772011">
            <w:pPr>
              <w:ind w:left="0"/>
              <w:rPr>
                <w:szCs w:val="20"/>
              </w:rPr>
            </w:pPr>
          </w:p>
        </w:tc>
        <w:tc>
          <w:tcPr>
            <w:tcW w:w="2435" w:type="dxa"/>
            <w:vAlign w:val="top"/>
            <w:hideMark/>
          </w:tcPr>
          <w:p w14:paraId="79FBDA42"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01F0CE7D" w14:textId="77777777" w:rsidTr="00772011">
        <w:trPr>
          <w:cantSplit/>
        </w:trPr>
        <w:tc>
          <w:tcPr>
            <w:tcW w:w="4225" w:type="dxa"/>
            <w:vAlign w:val="top"/>
            <w:hideMark/>
          </w:tcPr>
          <w:p w14:paraId="34379C88" w14:textId="77777777" w:rsidR="00EB6C01" w:rsidRPr="00772011" w:rsidRDefault="00EB6C01" w:rsidP="00772011">
            <w:pPr>
              <w:ind w:left="0"/>
              <w:rPr>
                <w:szCs w:val="20"/>
              </w:rPr>
            </w:pPr>
            <w:r w:rsidRPr="00772011">
              <w:rPr>
                <w:szCs w:val="20"/>
              </w:rPr>
              <w:lastRenderedPageBreak/>
              <w:t>3.5 Pose purposeful questions. Effective teaching of mathematics uses purposeful questions to assess and advance students’ reasoning and sense-making about important mathematical ideas and relationships.</w:t>
            </w:r>
          </w:p>
        </w:tc>
        <w:tc>
          <w:tcPr>
            <w:tcW w:w="2790" w:type="dxa"/>
            <w:vAlign w:val="top"/>
            <w:hideMark/>
          </w:tcPr>
          <w:p w14:paraId="547CDDE1" w14:textId="77777777" w:rsidR="00EB6C01" w:rsidRPr="00772011" w:rsidRDefault="00EB6C01" w:rsidP="00772011">
            <w:pPr>
              <w:ind w:left="0"/>
              <w:rPr>
                <w:szCs w:val="20"/>
              </w:rPr>
            </w:pPr>
          </w:p>
        </w:tc>
        <w:tc>
          <w:tcPr>
            <w:tcW w:w="1350" w:type="dxa"/>
            <w:vAlign w:val="top"/>
            <w:hideMark/>
          </w:tcPr>
          <w:p w14:paraId="5558DDB9" w14:textId="77777777" w:rsidR="00EB6C01" w:rsidRPr="00772011" w:rsidRDefault="00EB6C01" w:rsidP="00772011">
            <w:pPr>
              <w:ind w:left="0"/>
              <w:rPr>
                <w:szCs w:val="20"/>
              </w:rPr>
            </w:pPr>
          </w:p>
        </w:tc>
        <w:tc>
          <w:tcPr>
            <w:tcW w:w="2435" w:type="dxa"/>
            <w:vAlign w:val="top"/>
            <w:hideMark/>
          </w:tcPr>
          <w:p w14:paraId="4D3EEC01"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52B122C0" w14:textId="77777777" w:rsidTr="00772011">
        <w:trPr>
          <w:cantSplit/>
        </w:trPr>
        <w:tc>
          <w:tcPr>
            <w:tcW w:w="4225" w:type="dxa"/>
            <w:vAlign w:val="top"/>
            <w:hideMark/>
          </w:tcPr>
          <w:p w14:paraId="0E2E4903" w14:textId="77777777" w:rsidR="00EB6C01" w:rsidRPr="00772011" w:rsidRDefault="00EB6C01" w:rsidP="00772011">
            <w:pPr>
              <w:ind w:left="0"/>
              <w:rPr>
                <w:szCs w:val="20"/>
              </w:rPr>
            </w:pPr>
            <w:r w:rsidRPr="00772011">
              <w:rPr>
                <w:szCs w:val="20"/>
              </w:rPr>
              <w:t>3.6 Build procedural fluency from conceptual understanding. Effective teaching of mathematics fosters fluency with procedures on a foundation of conceptual understanding, enabling students to become skillful in using procedures flexibly as they solve contextual and mathematical problems over time.</w:t>
            </w:r>
          </w:p>
        </w:tc>
        <w:tc>
          <w:tcPr>
            <w:tcW w:w="2790" w:type="dxa"/>
            <w:vAlign w:val="top"/>
            <w:hideMark/>
          </w:tcPr>
          <w:p w14:paraId="20B3A307" w14:textId="77777777" w:rsidR="00EB6C01" w:rsidRPr="00772011" w:rsidRDefault="00EB6C01" w:rsidP="00772011">
            <w:pPr>
              <w:ind w:left="0"/>
              <w:rPr>
                <w:szCs w:val="20"/>
              </w:rPr>
            </w:pPr>
          </w:p>
        </w:tc>
        <w:tc>
          <w:tcPr>
            <w:tcW w:w="1350" w:type="dxa"/>
            <w:vAlign w:val="top"/>
            <w:hideMark/>
          </w:tcPr>
          <w:p w14:paraId="26821118" w14:textId="77777777" w:rsidR="00EB6C01" w:rsidRPr="00772011" w:rsidRDefault="00EB6C01" w:rsidP="00772011">
            <w:pPr>
              <w:ind w:left="0"/>
              <w:rPr>
                <w:szCs w:val="20"/>
              </w:rPr>
            </w:pPr>
          </w:p>
        </w:tc>
        <w:tc>
          <w:tcPr>
            <w:tcW w:w="2435" w:type="dxa"/>
            <w:vAlign w:val="top"/>
            <w:hideMark/>
          </w:tcPr>
          <w:p w14:paraId="66D69F7B"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64E976F2" w14:textId="77777777" w:rsidTr="00772011">
        <w:trPr>
          <w:cantSplit/>
        </w:trPr>
        <w:tc>
          <w:tcPr>
            <w:tcW w:w="4225" w:type="dxa"/>
            <w:vAlign w:val="top"/>
            <w:hideMark/>
          </w:tcPr>
          <w:p w14:paraId="708EFD42" w14:textId="77777777" w:rsidR="00EB6C01" w:rsidRPr="00772011" w:rsidRDefault="00EB6C01" w:rsidP="00772011">
            <w:pPr>
              <w:ind w:left="0"/>
              <w:rPr>
                <w:szCs w:val="20"/>
              </w:rPr>
            </w:pPr>
            <w:r w:rsidRPr="00772011">
              <w:rPr>
                <w:szCs w:val="20"/>
              </w:rPr>
              <w:t>3.7 Support productive struggle in learning mathematics. Effective teaching of mathematics consistently provides students, individually and collectively, with opportunities and supports to engage in productive struggle as they grapple with mathematical ideas and relationships.</w:t>
            </w:r>
          </w:p>
        </w:tc>
        <w:tc>
          <w:tcPr>
            <w:tcW w:w="2790" w:type="dxa"/>
            <w:vAlign w:val="top"/>
            <w:hideMark/>
          </w:tcPr>
          <w:p w14:paraId="3896C131" w14:textId="77777777" w:rsidR="00EB6C01" w:rsidRPr="00772011" w:rsidRDefault="00EB6C01" w:rsidP="00772011">
            <w:pPr>
              <w:ind w:left="0"/>
              <w:rPr>
                <w:szCs w:val="20"/>
              </w:rPr>
            </w:pPr>
          </w:p>
        </w:tc>
        <w:tc>
          <w:tcPr>
            <w:tcW w:w="1350" w:type="dxa"/>
            <w:vAlign w:val="top"/>
            <w:hideMark/>
          </w:tcPr>
          <w:p w14:paraId="0A7E4427" w14:textId="77777777" w:rsidR="00EB6C01" w:rsidRPr="00772011" w:rsidRDefault="00EB6C01" w:rsidP="00772011">
            <w:pPr>
              <w:ind w:left="0"/>
              <w:rPr>
                <w:szCs w:val="20"/>
              </w:rPr>
            </w:pPr>
          </w:p>
        </w:tc>
        <w:tc>
          <w:tcPr>
            <w:tcW w:w="2435" w:type="dxa"/>
            <w:vAlign w:val="top"/>
            <w:hideMark/>
          </w:tcPr>
          <w:p w14:paraId="29094D5B"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28451584" w14:textId="77777777" w:rsidTr="00436287">
        <w:trPr>
          <w:cantSplit/>
          <w:trHeight w:val="1435"/>
        </w:trPr>
        <w:tc>
          <w:tcPr>
            <w:tcW w:w="4225" w:type="dxa"/>
            <w:vAlign w:val="top"/>
            <w:hideMark/>
          </w:tcPr>
          <w:p w14:paraId="6B85086A" w14:textId="77777777" w:rsidR="00EB6C01" w:rsidRPr="00772011" w:rsidRDefault="00EB6C01" w:rsidP="00772011">
            <w:pPr>
              <w:ind w:left="0"/>
              <w:rPr>
                <w:szCs w:val="20"/>
              </w:rPr>
            </w:pPr>
            <w:r w:rsidRPr="00772011">
              <w:rPr>
                <w:szCs w:val="20"/>
              </w:rPr>
              <w:t>3.8 Elicit and use evidence of student thinking. Effective teaching of mathematics utilizes evidence of student thinking to assess progress toward mathematical understanding and continually adjust instruction in ways that support and extend learning.</w:t>
            </w:r>
          </w:p>
        </w:tc>
        <w:tc>
          <w:tcPr>
            <w:tcW w:w="2790" w:type="dxa"/>
            <w:vAlign w:val="top"/>
            <w:hideMark/>
          </w:tcPr>
          <w:p w14:paraId="69A0B6ED" w14:textId="77777777" w:rsidR="00EB6C01" w:rsidRPr="00772011" w:rsidRDefault="00EB6C01" w:rsidP="00772011">
            <w:pPr>
              <w:ind w:left="0"/>
              <w:rPr>
                <w:szCs w:val="20"/>
              </w:rPr>
            </w:pPr>
          </w:p>
        </w:tc>
        <w:tc>
          <w:tcPr>
            <w:tcW w:w="1350" w:type="dxa"/>
            <w:vAlign w:val="top"/>
            <w:hideMark/>
          </w:tcPr>
          <w:p w14:paraId="55969C01" w14:textId="77777777" w:rsidR="00EB6C01" w:rsidRPr="00772011" w:rsidRDefault="00EB6C01" w:rsidP="00772011">
            <w:pPr>
              <w:ind w:left="0"/>
              <w:rPr>
                <w:szCs w:val="20"/>
              </w:rPr>
            </w:pPr>
          </w:p>
        </w:tc>
        <w:tc>
          <w:tcPr>
            <w:tcW w:w="2435" w:type="dxa"/>
            <w:vAlign w:val="top"/>
            <w:hideMark/>
          </w:tcPr>
          <w:p w14:paraId="0DEBC083" w14:textId="77777777" w:rsidR="00EB6C01" w:rsidRPr="00772011" w:rsidRDefault="00EB6C01" w:rsidP="00772011">
            <w:pPr>
              <w:pStyle w:val="NormalWeb"/>
              <w:spacing w:before="0" w:beforeAutospacing="0" w:after="0" w:afterAutospacing="0"/>
              <w:rPr>
                <w:rFonts w:ascii="Arial" w:hAnsi="Arial" w:cs="Arial"/>
                <w:sz w:val="20"/>
                <w:szCs w:val="20"/>
              </w:rPr>
            </w:pPr>
          </w:p>
        </w:tc>
      </w:tr>
    </w:tbl>
    <w:p w14:paraId="7D573E11" w14:textId="77777777" w:rsidR="009C4471" w:rsidRDefault="009C4471" w:rsidP="00772011"/>
    <w:p w14:paraId="16F51F91" w14:textId="77777777" w:rsidR="00EB6C01" w:rsidRPr="00772011" w:rsidRDefault="00EB6C01" w:rsidP="00772011">
      <w:pPr>
        <w:pStyle w:val="Heading2"/>
      </w:pPr>
      <w:r w:rsidRPr="00772011">
        <w:t>Domain 4: Structured Mathematics Instruction – “The What”</w:t>
      </w:r>
    </w:p>
    <w:tbl>
      <w:tblPr>
        <w:tblStyle w:val="DefaultEducation"/>
        <w:tblW w:w="10800" w:type="dxa"/>
        <w:tblLook w:val="04A0" w:firstRow="1" w:lastRow="0" w:firstColumn="1" w:lastColumn="0" w:noHBand="0" w:noVBand="1"/>
      </w:tblPr>
      <w:tblGrid>
        <w:gridCol w:w="4225"/>
        <w:gridCol w:w="2846"/>
        <w:gridCol w:w="1294"/>
        <w:gridCol w:w="2435"/>
      </w:tblGrid>
      <w:tr w:rsidR="00EB6C01" w:rsidRPr="00772011" w14:paraId="039A0BB6" w14:textId="77777777" w:rsidTr="00772011">
        <w:trPr>
          <w:cnfStyle w:val="100000000000" w:firstRow="1" w:lastRow="0" w:firstColumn="0" w:lastColumn="0" w:oddVBand="0" w:evenVBand="0" w:oddHBand="0" w:evenHBand="0" w:firstRowFirstColumn="0" w:firstRowLastColumn="0" w:lastRowFirstColumn="0" w:lastRowLastColumn="0"/>
          <w:cantSplit/>
          <w:tblHeader/>
        </w:trPr>
        <w:tc>
          <w:tcPr>
            <w:tcW w:w="4225" w:type="dxa"/>
            <w:hideMark/>
          </w:tcPr>
          <w:p w14:paraId="54C8CE39" w14:textId="77777777" w:rsidR="00EB6C01" w:rsidRPr="00772011" w:rsidRDefault="00EB6C01" w:rsidP="00772011">
            <w:pPr>
              <w:pStyle w:val="TableHeading"/>
              <w:jc w:val="center"/>
              <w:rPr>
                <w:b/>
              </w:rPr>
            </w:pPr>
            <w:r w:rsidRPr="00772011">
              <w:rPr>
                <w:b/>
              </w:rPr>
              <w:t>Criteria and Key Performance Area</w:t>
            </w:r>
          </w:p>
        </w:tc>
        <w:tc>
          <w:tcPr>
            <w:tcW w:w="2846" w:type="dxa"/>
            <w:hideMark/>
          </w:tcPr>
          <w:p w14:paraId="369C44AA" w14:textId="77777777" w:rsidR="00EB6C01" w:rsidRPr="00772011" w:rsidRDefault="00EB6C01" w:rsidP="00772011">
            <w:pPr>
              <w:pStyle w:val="TableHeading"/>
              <w:jc w:val="center"/>
              <w:rPr>
                <w:b/>
              </w:rPr>
            </w:pPr>
            <w:r w:rsidRPr="00772011">
              <w:rPr>
                <w:b/>
              </w:rPr>
              <w:t>Curriculum Written Evaluation and Evidence for Performance Indicators of Candidate Competency</w:t>
            </w:r>
          </w:p>
        </w:tc>
        <w:tc>
          <w:tcPr>
            <w:tcW w:w="1294" w:type="dxa"/>
            <w:hideMark/>
          </w:tcPr>
          <w:p w14:paraId="2402ED13" w14:textId="77777777" w:rsidR="00EB6C01" w:rsidRPr="00772011" w:rsidRDefault="00EB6C01" w:rsidP="00772011">
            <w:pPr>
              <w:pStyle w:val="TableHeading"/>
              <w:jc w:val="center"/>
              <w:rPr>
                <w:b/>
              </w:rPr>
            </w:pPr>
            <w:r w:rsidRPr="00772011">
              <w:rPr>
                <w:b/>
              </w:rPr>
              <w:t>Files</w:t>
            </w:r>
          </w:p>
        </w:tc>
        <w:tc>
          <w:tcPr>
            <w:tcW w:w="2435" w:type="dxa"/>
            <w:hideMark/>
          </w:tcPr>
          <w:p w14:paraId="1F4DB80A" w14:textId="3C163C69" w:rsidR="00EB6C01" w:rsidRPr="00772011" w:rsidRDefault="00EB6C01" w:rsidP="00772011">
            <w:pPr>
              <w:pStyle w:val="TableHeading"/>
              <w:jc w:val="center"/>
              <w:rPr>
                <w:b/>
              </w:rPr>
            </w:pPr>
            <w:r w:rsidRPr="00772011">
              <w:rPr>
                <w:b/>
              </w:rPr>
              <w:t>Self</w:t>
            </w:r>
            <w:r w:rsidR="00A853AD" w:rsidRPr="00772011">
              <w:rPr>
                <w:b/>
              </w:rPr>
              <w:t>-</w:t>
            </w:r>
            <w:r w:rsidRPr="00772011">
              <w:rPr>
                <w:b/>
              </w:rPr>
              <w:t>Rating (based on rubrics in Workbook section 2)</w:t>
            </w:r>
          </w:p>
        </w:tc>
      </w:tr>
      <w:tr w:rsidR="00EB6C01" w:rsidRPr="00772011" w14:paraId="3F5AE52E" w14:textId="77777777" w:rsidTr="00772011">
        <w:tc>
          <w:tcPr>
            <w:tcW w:w="4225" w:type="dxa"/>
            <w:vAlign w:val="top"/>
            <w:hideMark/>
          </w:tcPr>
          <w:p w14:paraId="47C001CF" w14:textId="77777777" w:rsidR="00EB6C01" w:rsidRPr="00772011" w:rsidRDefault="00EB6C01" w:rsidP="00772011">
            <w:pPr>
              <w:ind w:left="0"/>
              <w:rPr>
                <w:szCs w:val="20"/>
              </w:rPr>
            </w:pPr>
            <w:r w:rsidRPr="00772011">
              <w:rPr>
                <w:szCs w:val="20"/>
              </w:rPr>
              <w:t xml:space="preserve">4.1 Uses learning and developmental progressions across K–12 to design instruction that is responsive to how students build understanding of specific mathematical ideas. This includes foundational concepts such as number sense and operations in early grades, as well as algebraic thinking, functions, and modeling in secondary grades (e.g., Carpenter; Clements &amp; </w:t>
            </w:r>
            <w:proofErr w:type="spellStart"/>
            <w:r w:rsidRPr="00772011">
              <w:rPr>
                <w:szCs w:val="20"/>
              </w:rPr>
              <w:t>Sarama</w:t>
            </w:r>
            <w:proofErr w:type="spellEnd"/>
            <w:r w:rsidRPr="00772011">
              <w:rPr>
                <w:szCs w:val="20"/>
              </w:rPr>
              <w:t xml:space="preserve">; Van de </w:t>
            </w:r>
            <w:proofErr w:type="spellStart"/>
            <w:r w:rsidRPr="00772011">
              <w:rPr>
                <w:szCs w:val="20"/>
              </w:rPr>
              <w:t>Walle</w:t>
            </w:r>
            <w:proofErr w:type="spellEnd"/>
            <w:r w:rsidRPr="00772011">
              <w:rPr>
                <w:szCs w:val="20"/>
              </w:rPr>
              <w:t>; NCTM; AMTE).</w:t>
            </w:r>
          </w:p>
        </w:tc>
        <w:tc>
          <w:tcPr>
            <w:tcW w:w="2846" w:type="dxa"/>
            <w:vAlign w:val="top"/>
            <w:hideMark/>
          </w:tcPr>
          <w:p w14:paraId="2C1240FC" w14:textId="77777777" w:rsidR="00EB6C01" w:rsidRPr="00772011" w:rsidRDefault="00EB6C01" w:rsidP="00772011">
            <w:pPr>
              <w:ind w:left="0"/>
              <w:rPr>
                <w:szCs w:val="20"/>
              </w:rPr>
            </w:pPr>
          </w:p>
        </w:tc>
        <w:tc>
          <w:tcPr>
            <w:tcW w:w="1294" w:type="dxa"/>
            <w:vAlign w:val="top"/>
            <w:hideMark/>
          </w:tcPr>
          <w:p w14:paraId="5353D4C5" w14:textId="77777777" w:rsidR="00EB6C01" w:rsidRPr="00772011" w:rsidRDefault="00EB6C01" w:rsidP="00772011">
            <w:pPr>
              <w:ind w:left="0"/>
              <w:rPr>
                <w:szCs w:val="20"/>
              </w:rPr>
            </w:pPr>
          </w:p>
        </w:tc>
        <w:tc>
          <w:tcPr>
            <w:tcW w:w="2435" w:type="dxa"/>
            <w:vAlign w:val="top"/>
            <w:hideMark/>
          </w:tcPr>
          <w:p w14:paraId="52165F82"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6598355E" w14:textId="77777777" w:rsidTr="00772011">
        <w:tc>
          <w:tcPr>
            <w:tcW w:w="4225" w:type="dxa"/>
            <w:vAlign w:val="top"/>
            <w:hideMark/>
          </w:tcPr>
          <w:p w14:paraId="1D16DF38" w14:textId="77777777" w:rsidR="00EB6C01" w:rsidRPr="00772011" w:rsidRDefault="00EB6C01" w:rsidP="00772011">
            <w:pPr>
              <w:ind w:left="0"/>
              <w:rPr>
                <w:szCs w:val="20"/>
              </w:rPr>
            </w:pPr>
            <w:r w:rsidRPr="00772011">
              <w:rPr>
                <w:szCs w:val="20"/>
              </w:rPr>
              <w:t>4.2 Builds procedural fluency through flexible strategy use, guiding students to select, apply, and justify efficient strategies after developing conceptual understanding</w:t>
            </w:r>
            <w:r w:rsidR="00B57C56" w:rsidRPr="00772011">
              <w:rPr>
                <w:szCs w:val="20"/>
              </w:rPr>
              <w:t xml:space="preserve">, </w:t>
            </w:r>
            <w:r w:rsidRPr="00772011">
              <w:rPr>
                <w:szCs w:val="20"/>
              </w:rPr>
              <w:t>prioritizing reasoning over memorization.</w:t>
            </w:r>
          </w:p>
        </w:tc>
        <w:tc>
          <w:tcPr>
            <w:tcW w:w="2846" w:type="dxa"/>
            <w:vAlign w:val="top"/>
            <w:hideMark/>
          </w:tcPr>
          <w:p w14:paraId="117E2217" w14:textId="77777777" w:rsidR="00EB6C01" w:rsidRPr="00772011" w:rsidRDefault="00EB6C01" w:rsidP="00772011">
            <w:pPr>
              <w:ind w:left="0"/>
              <w:rPr>
                <w:szCs w:val="20"/>
              </w:rPr>
            </w:pPr>
          </w:p>
        </w:tc>
        <w:tc>
          <w:tcPr>
            <w:tcW w:w="1294" w:type="dxa"/>
            <w:vAlign w:val="top"/>
            <w:hideMark/>
          </w:tcPr>
          <w:p w14:paraId="2EEE8F6B" w14:textId="77777777" w:rsidR="00EB6C01" w:rsidRPr="00772011" w:rsidRDefault="00EB6C01" w:rsidP="00772011">
            <w:pPr>
              <w:ind w:left="0"/>
              <w:rPr>
                <w:szCs w:val="20"/>
              </w:rPr>
            </w:pPr>
          </w:p>
        </w:tc>
        <w:tc>
          <w:tcPr>
            <w:tcW w:w="2435" w:type="dxa"/>
            <w:vAlign w:val="top"/>
            <w:hideMark/>
          </w:tcPr>
          <w:p w14:paraId="1100C527" w14:textId="77777777" w:rsidR="00EB6C01" w:rsidRPr="00772011" w:rsidRDefault="00EB6C01" w:rsidP="00772011">
            <w:pPr>
              <w:pStyle w:val="NormalWeb"/>
              <w:spacing w:before="0" w:beforeAutospacing="0" w:after="0" w:afterAutospacing="0"/>
              <w:rPr>
                <w:rFonts w:ascii="Arial" w:hAnsi="Arial" w:cs="Arial"/>
                <w:sz w:val="20"/>
                <w:szCs w:val="20"/>
              </w:rPr>
            </w:pPr>
          </w:p>
        </w:tc>
      </w:tr>
      <w:tr w:rsidR="00EB6C01" w:rsidRPr="00772011" w14:paraId="512FE4E2" w14:textId="77777777" w:rsidTr="00772011">
        <w:tc>
          <w:tcPr>
            <w:tcW w:w="4225" w:type="dxa"/>
            <w:vAlign w:val="top"/>
            <w:hideMark/>
          </w:tcPr>
          <w:p w14:paraId="1B444CF0" w14:textId="77777777" w:rsidR="00EB6C01" w:rsidRPr="00772011" w:rsidRDefault="00EB6C01" w:rsidP="00772011">
            <w:pPr>
              <w:ind w:left="0"/>
              <w:rPr>
                <w:szCs w:val="20"/>
              </w:rPr>
            </w:pPr>
            <w:r w:rsidRPr="00772011">
              <w:rPr>
                <w:szCs w:val="20"/>
              </w:rPr>
              <w:lastRenderedPageBreak/>
              <w:t>4.3 Anticipates and addresses common misconceptions by analyzing students’ reasoning to identify developmental stages and inform instructional decisions that support learning.</w:t>
            </w:r>
          </w:p>
        </w:tc>
        <w:tc>
          <w:tcPr>
            <w:tcW w:w="2846" w:type="dxa"/>
            <w:vAlign w:val="top"/>
            <w:hideMark/>
          </w:tcPr>
          <w:p w14:paraId="26485B58" w14:textId="77777777" w:rsidR="00EB6C01" w:rsidRPr="00772011" w:rsidRDefault="00EB6C01" w:rsidP="00772011">
            <w:pPr>
              <w:ind w:left="0"/>
              <w:rPr>
                <w:szCs w:val="20"/>
              </w:rPr>
            </w:pPr>
          </w:p>
        </w:tc>
        <w:tc>
          <w:tcPr>
            <w:tcW w:w="1294" w:type="dxa"/>
            <w:vAlign w:val="top"/>
            <w:hideMark/>
          </w:tcPr>
          <w:p w14:paraId="40E515BC" w14:textId="77777777" w:rsidR="00EB6C01" w:rsidRPr="00772011" w:rsidRDefault="00EB6C01" w:rsidP="00772011">
            <w:pPr>
              <w:ind w:left="0"/>
              <w:rPr>
                <w:szCs w:val="20"/>
              </w:rPr>
            </w:pPr>
          </w:p>
        </w:tc>
        <w:tc>
          <w:tcPr>
            <w:tcW w:w="2435" w:type="dxa"/>
            <w:vAlign w:val="top"/>
            <w:hideMark/>
          </w:tcPr>
          <w:p w14:paraId="2F7FB42D" w14:textId="77777777" w:rsidR="00EB6C01" w:rsidRPr="00772011" w:rsidRDefault="00EB6C01" w:rsidP="00772011">
            <w:pPr>
              <w:pStyle w:val="NormalWeb"/>
              <w:spacing w:before="0" w:beforeAutospacing="0" w:after="0" w:afterAutospacing="0"/>
              <w:rPr>
                <w:rFonts w:ascii="Arial" w:hAnsi="Arial" w:cs="Arial"/>
                <w:sz w:val="20"/>
                <w:szCs w:val="20"/>
              </w:rPr>
            </w:pPr>
          </w:p>
        </w:tc>
      </w:tr>
    </w:tbl>
    <w:p w14:paraId="0EFD3EBF" w14:textId="77777777" w:rsidR="00AA1298" w:rsidRDefault="00AA1298" w:rsidP="00772011"/>
    <w:p w14:paraId="356C9755" w14:textId="335CED02" w:rsidR="00EB6C01" w:rsidRPr="00772011" w:rsidRDefault="00EB6C01" w:rsidP="00772011">
      <w:pPr>
        <w:pStyle w:val="Heading2"/>
      </w:pPr>
      <w:r w:rsidRPr="00772011">
        <w:t>Domain 5: Assessment Practices in Mathematics</w:t>
      </w:r>
    </w:p>
    <w:tbl>
      <w:tblPr>
        <w:tblStyle w:val="DefaultEducation"/>
        <w:tblW w:w="10800" w:type="dxa"/>
        <w:tblLook w:val="04A0" w:firstRow="1" w:lastRow="0" w:firstColumn="1" w:lastColumn="0" w:noHBand="0" w:noVBand="1"/>
      </w:tblPr>
      <w:tblGrid>
        <w:gridCol w:w="4225"/>
        <w:gridCol w:w="2790"/>
        <w:gridCol w:w="1350"/>
        <w:gridCol w:w="2435"/>
      </w:tblGrid>
      <w:tr w:rsidR="00EB6C01" w:rsidRPr="00772011" w14:paraId="55244FE6" w14:textId="77777777" w:rsidTr="00772011">
        <w:trPr>
          <w:cnfStyle w:val="100000000000" w:firstRow="1" w:lastRow="0" w:firstColumn="0" w:lastColumn="0" w:oddVBand="0" w:evenVBand="0" w:oddHBand="0" w:evenHBand="0" w:firstRowFirstColumn="0" w:firstRowLastColumn="0" w:lastRowFirstColumn="0" w:lastRowLastColumn="0"/>
          <w:cantSplit/>
        </w:trPr>
        <w:tc>
          <w:tcPr>
            <w:tcW w:w="4225" w:type="dxa"/>
            <w:hideMark/>
          </w:tcPr>
          <w:p w14:paraId="21F65A91" w14:textId="77777777" w:rsidR="00EB6C01" w:rsidRPr="00772011" w:rsidRDefault="00EB6C01" w:rsidP="00772011">
            <w:pPr>
              <w:pStyle w:val="TableHeading"/>
              <w:jc w:val="center"/>
              <w:rPr>
                <w:b/>
                <w:sz w:val="20"/>
                <w:szCs w:val="20"/>
              </w:rPr>
            </w:pPr>
            <w:r w:rsidRPr="00772011">
              <w:rPr>
                <w:b/>
                <w:sz w:val="20"/>
                <w:szCs w:val="20"/>
              </w:rPr>
              <w:t>Criteria and Key Performance Area</w:t>
            </w:r>
          </w:p>
        </w:tc>
        <w:tc>
          <w:tcPr>
            <w:tcW w:w="2790" w:type="dxa"/>
            <w:hideMark/>
          </w:tcPr>
          <w:p w14:paraId="02FD397B" w14:textId="77777777" w:rsidR="00EB6C01" w:rsidRPr="00772011" w:rsidRDefault="00EB6C01" w:rsidP="00772011">
            <w:pPr>
              <w:pStyle w:val="TableHeading"/>
              <w:jc w:val="center"/>
              <w:rPr>
                <w:b/>
                <w:sz w:val="20"/>
                <w:szCs w:val="20"/>
              </w:rPr>
            </w:pPr>
            <w:r w:rsidRPr="00772011">
              <w:rPr>
                <w:b/>
                <w:sz w:val="20"/>
                <w:szCs w:val="20"/>
              </w:rPr>
              <w:t>Curriculum Written Evaluation and Evidence for Performance Indicators of Candidate Competency</w:t>
            </w:r>
          </w:p>
        </w:tc>
        <w:tc>
          <w:tcPr>
            <w:tcW w:w="1350" w:type="dxa"/>
            <w:hideMark/>
          </w:tcPr>
          <w:p w14:paraId="4792DE21" w14:textId="77777777" w:rsidR="00EB6C01" w:rsidRPr="00772011" w:rsidRDefault="00EB6C01" w:rsidP="00772011">
            <w:pPr>
              <w:pStyle w:val="TableHeading"/>
              <w:jc w:val="center"/>
              <w:rPr>
                <w:b/>
                <w:sz w:val="20"/>
                <w:szCs w:val="20"/>
              </w:rPr>
            </w:pPr>
            <w:r w:rsidRPr="00772011">
              <w:rPr>
                <w:b/>
                <w:sz w:val="20"/>
                <w:szCs w:val="20"/>
              </w:rPr>
              <w:t>Files</w:t>
            </w:r>
          </w:p>
        </w:tc>
        <w:tc>
          <w:tcPr>
            <w:tcW w:w="2435" w:type="dxa"/>
            <w:hideMark/>
          </w:tcPr>
          <w:p w14:paraId="6860658A" w14:textId="0C490B2F" w:rsidR="00EB6C01" w:rsidRPr="00772011" w:rsidRDefault="00EB6C01" w:rsidP="00772011">
            <w:pPr>
              <w:pStyle w:val="TableHeading"/>
              <w:jc w:val="center"/>
              <w:rPr>
                <w:b/>
                <w:sz w:val="20"/>
                <w:szCs w:val="20"/>
              </w:rPr>
            </w:pPr>
            <w:r w:rsidRPr="00772011">
              <w:rPr>
                <w:b/>
                <w:sz w:val="20"/>
                <w:szCs w:val="20"/>
              </w:rPr>
              <w:t>Self</w:t>
            </w:r>
            <w:r w:rsidR="00A853AD" w:rsidRPr="00772011">
              <w:rPr>
                <w:b/>
                <w:sz w:val="20"/>
                <w:szCs w:val="20"/>
              </w:rPr>
              <w:t>-</w:t>
            </w:r>
            <w:r w:rsidRPr="00772011">
              <w:rPr>
                <w:b/>
                <w:sz w:val="20"/>
                <w:szCs w:val="20"/>
              </w:rPr>
              <w:t>Rating (based on rubrics in Workbook section 2)</w:t>
            </w:r>
          </w:p>
        </w:tc>
      </w:tr>
      <w:tr w:rsidR="00EB6C01" w:rsidRPr="00772011" w14:paraId="347BF2C9" w14:textId="77777777" w:rsidTr="00436287">
        <w:trPr>
          <w:cantSplit/>
          <w:trHeight w:val="1003"/>
        </w:trPr>
        <w:tc>
          <w:tcPr>
            <w:tcW w:w="4225" w:type="dxa"/>
            <w:vAlign w:val="top"/>
            <w:hideMark/>
          </w:tcPr>
          <w:p w14:paraId="6D1A128D" w14:textId="77777777" w:rsidR="00EB6C01" w:rsidRPr="00772011" w:rsidRDefault="00EB6C01" w:rsidP="00772011">
            <w:pPr>
              <w:ind w:left="0"/>
              <w:rPr>
                <w:szCs w:val="20"/>
              </w:rPr>
            </w:pPr>
            <w:r w:rsidRPr="00772011">
              <w:rPr>
                <w:szCs w:val="20"/>
              </w:rPr>
              <w:t>5.1 Selects and appropriately uses a range of assessment types, such as formative and summative, to support instructional decisions and student learning.</w:t>
            </w:r>
          </w:p>
        </w:tc>
        <w:tc>
          <w:tcPr>
            <w:tcW w:w="2790" w:type="dxa"/>
            <w:vAlign w:val="top"/>
            <w:hideMark/>
          </w:tcPr>
          <w:p w14:paraId="1C46AFEC" w14:textId="77777777" w:rsidR="00EB6C01" w:rsidRPr="00772011" w:rsidRDefault="00EB6C01" w:rsidP="00772011">
            <w:pPr>
              <w:ind w:left="0"/>
              <w:rPr>
                <w:szCs w:val="20"/>
              </w:rPr>
            </w:pPr>
          </w:p>
        </w:tc>
        <w:tc>
          <w:tcPr>
            <w:tcW w:w="1350" w:type="dxa"/>
            <w:vAlign w:val="top"/>
            <w:hideMark/>
          </w:tcPr>
          <w:p w14:paraId="5ED7BE95" w14:textId="77777777" w:rsidR="00EB6C01" w:rsidRPr="00772011" w:rsidRDefault="00EB6C01" w:rsidP="00772011">
            <w:pPr>
              <w:ind w:left="0"/>
              <w:rPr>
                <w:szCs w:val="20"/>
              </w:rPr>
            </w:pPr>
          </w:p>
        </w:tc>
        <w:tc>
          <w:tcPr>
            <w:tcW w:w="2435" w:type="dxa"/>
            <w:vAlign w:val="top"/>
            <w:hideMark/>
          </w:tcPr>
          <w:p w14:paraId="15B74FC5" w14:textId="77777777" w:rsidR="00EB6C01" w:rsidRPr="00772011" w:rsidRDefault="00EB6C01" w:rsidP="00772011">
            <w:pPr>
              <w:pStyle w:val="NormalWeb"/>
              <w:spacing w:before="0" w:beforeAutospacing="0" w:after="0" w:afterAutospacing="0"/>
              <w:rPr>
                <w:sz w:val="20"/>
                <w:szCs w:val="20"/>
              </w:rPr>
            </w:pPr>
          </w:p>
        </w:tc>
      </w:tr>
      <w:tr w:rsidR="00EB6C01" w:rsidRPr="00772011" w14:paraId="23DB14C5" w14:textId="77777777" w:rsidTr="00436287">
        <w:trPr>
          <w:cantSplit/>
          <w:trHeight w:val="1228"/>
        </w:trPr>
        <w:tc>
          <w:tcPr>
            <w:tcW w:w="4225" w:type="dxa"/>
            <w:vAlign w:val="top"/>
            <w:hideMark/>
          </w:tcPr>
          <w:p w14:paraId="121DE808" w14:textId="77777777" w:rsidR="00EB6C01" w:rsidRPr="00772011" w:rsidRDefault="00EB6C01" w:rsidP="00772011">
            <w:pPr>
              <w:ind w:left="0"/>
              <w:rPr>
                <w:szCs w:val="20"/>
              </w:rPr>
            </w:pPr>
            <w:r w:rsidRPr="00772011">
              <w:rPr>
                <w:szCs w:val="20"/>
              </w:rPr>
              <w:t>5.2 Analyzes student work and performance-based assessments to determine appropriate next steps—providing feedback that supports conceptual development and extends learning.</w:t>
            </w:r>
          </w:p>
        </w:tc>
        <w:tc>
          <w:tcPr>
            <w:tcW w:w="2790" w:type="dxa"/>
            <w:vAlign w:val="top"/>
            <w:hideMark/>
          </w:tcPr>
          <w:p w14:paraId="205B3AAC" w14:textId="77777777" w:rsidR="00EB6C01" w:rsidRPr="00772011" w:rsidRDefault="00EB6C01" w:rsidP="00772011">
            <w:pPr>
              <w:ind w:left="0"/>
              <w:rPr>
                <w:szCs w:val="20"/>
              </w:rPr>
            </w:pPr>
          </w:p>
        </w:tc>
        <w:tc>
          <w:tcPr>
            <w:tcW w:w="1350" w:type="dxa"/>
            <w:vAlign w:val="top"/>
            <w:hideMark/>
          </w:tcPr>
          <w:p w14:paraId="66E6A210" w14:textId="77777777" w:rsidR="00EB6C01" w:rsidRPr="00772011" w:rsidRDefault="00EB6C01" w:rsidP="00772011">
            <w:pPr>
              <w:ind w:left="0"/>
              <w:rPr>
                <w:szCs w:val="20"/>
              </w:rPr>
            </w:pPr>
          </w:p>
        </w:tc>
        <w:tc>
          <w:tcPr>
            <w:tcW w:w="2435" w:type="dxa"/>
            <w:vAlign w:val="top"/>
            <w:hideMark/>
          </w:tcPr>
          <w:p w14:paraId="38E427E3" w14:textId="77777777" w:rsidR="00EB6C01" w:rsidRPr="00772011" w:rsidRDefault="00EB6C01" w:rsidP="00772011">
            <w:pPr>
              <w:pStyle w:val="NormalWeb"/>
              <w:spacing w:before="0" w:beforeAutospacing="0" w:after="0" w:afterAutospacing="0"/>
              <w:rPr>
                <w:sz w:val="20"/>
                <w:szCs w:val="20"/>
              </w:rPr>
            </w:pPr>
          </w:p>
        </w:tc>
      </w:tr>
      <w:tr w:rsidR="00EB6C01" w:rsidRPr="00772011" w14:paraId="501AD6E6" w14:textId="77777777" w:rsidTr="00772011">
        <w:trPr>
          <w:cantSplit/>
        </w:trPr>
        <w:tc>
          <w:tcPr>
            <w:tcW w:w="4225" w:type="dxa"/>
            <w:vAlign w:val="top"/>
            <w:hideMark/>
          </w:tcPr>
          <w:p w14:paraId="26B89339" w14:textId="07AD4CEA" w:rsidR="00EB6C01" w:rsidRPr="00772011" w:rsidRDefault="00EB6C01" w:rsidP="00772011">
            <w:pPr>
              <w:ind w:left="0"/>
              <w:rPr>
                <w:szCs w:val="20"/>
              </w:rPr>
            </w:pPr>
            <w:r w:rsidRPr="00772011">
              <w:rPr>
                <w:szCs w:val="20"/>
              </w:rPr>
              <w:t>5.3</w:t>
            </w:r>
            <w:r w:rsidR="009C4471" w:rsidRPr="00772011">
              <w:rPr>
                <w:szCs w:val="20"/>
              </w:rPr>
              <w:t xml:space="preserve"> </w:t>
            </w:r>
            <w:r w:rsidRPr="00772011">
              <w:rPr>
                <w:szCs w:val="20"/>
              </w:rPr>
              <w:t>Supports student progress within a Multi-Tiered System of Supports (MTSS) framework using assessment data to inform instructional goals.</w:t>
            </w:r>
            <w:bookmarkStart w:id="0" w:name="_GoBack"/>
            <w:bookmarkEnd w:id="0"/>
          </w:p>
        </w:tc>
        <w:tc>
          <w:tcPr>
            <w:tcW w:w="2790" w:type="dxa"/>
            <w:vAlign w:val="top"/>
            <w:hideMark/>
          </w:tcPr>
          <w:p w14:paraId="11F4BA64" w14:textId="77777777" w:rsidR="00EB6C01" w:rsidRPr="00772011" w:rsidRDefault="00EB6C01" w:rsidP="00772011">
            <w:pPr>
              <w:ind w:left="0"/>
              <w:rPr>
                <w:szCs w:val="20"/>
              </w:rPr>
            </w:pPr>
          </w:p>
        </w:tc>
        <w:tc>
          <w:tcPr>
            <w:tcW w:w="1350" w:type="dxa"/>
            <w:vAlign w:val="top"/>
            <w:hideMark/>
          </w:tcPr>
          <w:p w14:paraId="749F4925" w14:textId="77777777" w:rsidR="00EB6C01" w:rsidRPr="00772011" w:rsidRDefault="00EB6C01" w:rsidP="00772011">
            <w:pPr>
              <w:ind w:left="0"/>
              <w:rPr>
                <w:szCs w:val="20"/>
              </w:rPr>
            </w:pPr>
          </w:p>
        </w:tc>
        <w:tc>
          <w:tcPr>
            <w:tcW w:w="2435" w:type="dxa"/>
            <w:vAlign w:val="top"/>
            <w:hideMark/>
          </w:tcPr>
          <w:p w14:paraId="1DC600D6" w14:textId="77777777" w:rsidR="00EB6C01" w:rsidRPr="00772011" w:rsidRDefault="00EB6C01" w:rsidP="00772011">
            <w:pPr>
              <w:ind w:left="0"/>
              <w:rPr>
                <w:szCs w:val="20"/>
              </w:rPr>
            </w:pPr>
          </w:p>
        </w:tc>
      </w:tr>
    </w:tbl>
    <w:p w14:paraId="30B3287F" w14:textId="77777777" w:rsidR="00EB6C01" w:rsidRPr="003F7F0C" w:rsidRDefault="00EB6C01" w:rsidP="003876E8"/>
    <w:sectPr w:rsidR="00EB6C01" w:rsidRPr="003F7F0C"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ED592" w14:textId="77777777" w:rsidR="004418D3" w:rsidRDefault="004418D3" w:rsidP="00491299">
      <w:pPr>
        <w:spacing w:after="0" w:line="240" w:lineRule="auto"/>
      </w:pPr>
      <w:r>
        <w:separator/>
      </w:r>
    </w:p>
  </w:endnote>
  <w:endnote w:type="continuationSeparator" w:id="0">
    <w:p w14:paraId="7D475DB1" w14:textId="77777777" w:rsidR="004418D3" w:rsidRDefault="004418D3"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632881"/>
      <w:docPartObj>
        <w:docPartGallery w:val="Page Numbers (Bottom of Page)"/>
        <w:docPartUnique/>
      </w:docPartObj>
    </w:sdtPr>
    <w:sdtEndPr>
      <w:rPr>
        <w:noProof/>
      </w:rPr>
    </w:sdtEndPr>
    <w:sdtContent>
      <w:p w14:paraId="6F1E1713" w14:textId="19CEA5BD" w:rsidR="00491299" w:rsidRPr="004D7B1B" w:rsidRDefault="00252D28" w:rsidP="00473B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10384" w14:textId="77777777" w:rsidR="004418D3" w:rsidRDefault="004418D3" w:rsidP="00491299">
      <w:pPr>
        <w:spacing w:after="0" w:line="240" w:lineRule="auto"/>
      </w:pPr>
      <w:r>
        <w:separator/>
      </w:r>
    </w:p>
  </w:footnote>
  <w:footnote w:type="continuationSeparator" w:id="0">
    <w:p w14:paraId="3F57FA68" w14:textId="77777777" w:rsidR="004418D3" w:rsidRDefault="004418D3"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F504F"/>
    <w:multiLevelType w:val="multilevel"/>
    <w:tmpl w:val="4444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603BB"/>
    <w:multiLevelType w:val="hybridMultilevel"/>
    <w:tmpl w:val="820C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03F85"/>
    <w:multiLevelType w:val="hybridMultilevel"/>
    <w:tmpl w:val="2CEC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62F29"/>
    <w:multiLevelType w:val="multilevel"/>
    <w:tmpl w:val="C4C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01"/>
    <w:rsid w:val="00080980"/>
    <w:rsid w:val="00083635"/>
    <w:rsid w:val="00090F5E"/>
    <w:rsid w:val="0017115B"/>
    <w:rsid w:val="001D0E44"/>
    <w:rsid w:val="00252D28"/>
    <w:rsid w:val="002C568B"/>
    <w:rsid w:val="00320348"/>
    <w:rsid w:val="003213C6"/>
    <w:rsid w:val="00332443"/>
    <w:rsid w:val="00361152"/>
    <w:rsid w:val="003876E8"/>
    <w:rsid w:val="003A7507"/>
    <w:rsid w:val="003E7DF9"/>
    <w:rsid w:val="003F3A62"/>
    <w:rsid w:val="003F7F0C"/>
    <w:rsid w:val="00434015"/>
    <w:rsid w:val="00436287"/>
    <w:rsid w:val="004418D3"/>
    <w:rsid w:val="00451783"/>
    <w:rsid w:val="00473B75"/>
    <w:rsid w:val="00484F49"/>
    <w:rsid w:val="00491299"/>
    <w:rsid w:val="004B752C"/>
    <w:rsid w:val="004C153E"/>
    <w:rsid w:val="004D7B1B"/>
    <w:rsid w:val="00501077"/>
    <w:rsid w:val="00504B25"/>
    <w:rsid w:val="0054445F"/>
    <w:rsid w:val="005756C6"/>
    <w:rsid w:val="00583C48"/>
    <w:rsid w:val="00596873"/>
    <w:rsid w:val="005C7FFA"/>
    <w:rsid w:val="0061364B"/>
    <w:rsid w:val="00616687"/>
    <w:rsid w:val="00675914"/>
    <w:rsid w:val="00686719"/>
    <w:rsid w:val="00696AF9"/>
    <w:rsid w:val="006A5DA2"/>
    <w:rsid w:val="007500ED"/>
    <w:rsid w:val="00770664"/>
    <w:rsid w:val="00772011"/>
    <w:rsid w:val="007C0560"/>
    <w:rsid w:val="00811EF1"/>
    <w:rsid w:val="00824991"/>
    <w:rsid w:val="00825090"/>
    <w:rsid w:val="00847D7C"/>
    <w:rsid w:val="008A3B17"/>
    <w:rsid w:val="008A75FC"/>
    <w:rsid w:val="008E7280"/>
    <w:rsid w:val="009053F0"/>
    <w:rsid w:val="00916CD9"/>
    <w:rsid w:val="0097443C"/>
    <w:rsid w:val="009C4471"/>
    <w:rsid w:val="009F5DE9"/>
    <w:rsid w:val="00A460D2"/>
    <w:rsid w:val="00A46467"/>
    <w:rsid w:val="00A70D95"/>
    <w:rsid w:val="00A72EA4"/>
    <w:rsid w:val="00A853AD"/>
    <w:rsid w:val="00AA1298"/>
    <w:rsid w:val="00AA5025"/>
    <w:rsid w:val="00B07D3D"/>
    <w:rsid w:val="00B44439"/>
    <w:rsid w:val="00B57C56"/>
    <w:rsid w:val="00B65C45"/>
    <w:rsid w:val="00BA2A0B"/>
    <w:rsid w:val="00BE1C04"/>
    <w:rsid w:val="00BF6281"/>
    <w:rsid w:val="00BF7315"/>
    <w:rsid w:val="00C9004C"/>
    <w:rsid w:val="00CD0253"/>
    <w:rsid w:val="00CE4807"/>
    <w:rsid w:val="00CF35B8"/>
    <w:rsid w:val="00D15896"/>
    <w:rsid w:val="00D87AFE"/>
    <w:rsid w:val="00DB077B"/>
    <w:rsid w:val="00E442E7"/>
    <w:rsid w:val="00E81060"/>
    <w:rsid w:val="00EA638D"/>
    <w:rsid w:val="00EA67AA"/>
    <w:rsid w:val="00EB35A9"/>
    <w:rsid w:val="00EB6C01"/>
    <w:rsid w:val="00ED5D86"/>
    <w:rsid w:val="00EF57B7"/>
    <w:rsid w:val="00FB4B2C"/>
    <w:rsid w:val="00FD12DB"/>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C307E"/>
  <w15:chartTrackingRefBased/>
  <w15:docId w15:val="{F2A47F24-0CC7-4039-A487-3F2F4E88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6C01"/>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460D2"/>
    <w:rPr>
      <w:color w:val="808080"/>
    </w:rPr>
  </w:style>
  <w:style w:type="paragraph" w:styleId="ListParagraph">
    <w:name w:val="List Paragraph"/>
    <w:basedOn w:val="Normal"/>
    <w:uiPriority w:val="34"/>
    <w:rsid w:val="009C4471"/>
    <w:pPr>
      <w:ind w:left="720"/>
      <w:contextualSpacing/>
    </w:pPr>
  </w:style>
  <w:style w:type="character" w:styleId="CommentReference">
    <w:name w:val="annotation reference"/>
    <w:basedOn w:val="DefaultParagraphFont"/>
    <w:uiPriority w:val="99"/>
    <w:semiHidden/>
    <w:unhideWhenUsed/>
    <w:rsid w:val="00675914"/>
    <w:rPr>
      <w:sz w:val="16"/>
      <w:szCs w:val="16"/>
    </w:rPr>
  </w:style>
  <w:style w:type="paragraph" w:styleId="CommentText">
    <w:name w:val="annotation text"/>
    <w:basedOn w:val="Normal"/>
    <w:link w:val="CommentTextChar"/>
    <w:uiPriority w:val="99"/>
    <w:semiHidden/>
    <w:unhideWhenUsed/>
    <w:rsid w:val="00675914"/>
    <w:pPr>
      <w:spacing w:line="240" w:lineRule="auto"/>
    </w:pPr>
    <w:rPr>
      <w:sz w:val="20"/>
      <w:szCs w:val="20"/>
    </w:rPr>
  </w:style>
  <w:style w:type="character" w:customStyle="1" w:styleId="CommentTextChar">
    <w:name w:val="Comment Text Char"/>
    <w:basedOn w:val="DefaultParagraphFont"/>
    <w:link w:val="CommentText"/>
    <w:uiPriority w:val="99"/>
    <w:semiHidden/>
    <w:rsid w:val="00675914"/>
    <w:rPr>
      <w:sz w:val="20"/>
      <w:szCs w:val="20"/>
    </w:rPr>
  </w:style>
  <w:style w:type="paragraph" w:styleId="CommentSubject">
    <w:name w:val="annotation subject"/>
    <w:basedOn w:val="CommentText"/>
    <w:next w:val="CommentText"/>
    <w:link w:val="CommentSubjectChar"/>
    <w:uiPriority w:val="99"/>
    <w:semiHidden/>
    <w:unhideWhenUsed/>
    <w:rsid w:val="00675914"/>
    <w:rPr>
      <w:b/>
      <w:bCs/>
    </w:rPr>
  </w:style>
  <w:style w:type="character" w:customStyle="1" w:styleId="CommentSubjectChar">
    <w:name w:val="Comment Subject Char"/>
    <w:basedOn w:val="CommentTextChar"/>
    <w:link w:val="CommentSubject"/>
    <w:uiPriority w:val="99"/>
    <w:semiHidden/>
    <w:rsid w:val="00675914"/>
    <w:rPr>
      <w:b/>
      <w:bCs/>
      <w:sz w:val="20"/>
      <w:szCs w:val="20"/>
    </w:rPr>
  </w:style>
  <w:style w:type="paragraph" w:styleId="BalloonText">
    <w:name w:val="Balloon Text"/>
    <w:basedOn w:val="Normal"/>
    <w:link w:val="BalloonTextChar"/>
    <w:uiPriority w:val="99"/>
    <w:semiHidden/>
    <w:unhideWhenUsed/>
    <w:rsid w:val="0067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14"/>
    <w:rPr>
      <w:rFonts w:ascii="Segoe UI" w:hAnsi="Segoe UI" w:cs="Segoe UI"/>
      <w:sz w:val="18"/>
      <w:szCs w:val="18"/>
    </w:rPr>
  </w:style>
  <w:style w:type="paragraph" w:styleId="Revision">
    <w:name w:val="Revision"/>
    <w:hidden/>
    <w:uiPriority w:val="99"/>
    <w:semiHidden/>
    <w:rsid w:val="00770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3820">
      <w:bodyDiv w:val="1"/>
      <w:marLeft w:val="0"/>
      <w:marRight w:val="0"/>
      <w:marTop w:val="0"/>
      <w:marBottom w:val="0"/>
      <w:divBdr>
        <w:top w:val="none" w:sz="0" w:space="0" w:color="auto"/>
        <w:left w:val="none" w:sz="0" w:space="0" w:color="auto"/>
        <w:bottom w:val="none" w:sz="0" w:space="0" w:color="auto"/>
        <w:right w:val="none" w:sz="0" w:space="0" w:color="auto"/>
      </w:divBdr>
      <w:divsChild>
        <w:div w:id="1064717184">
          <w:marLeft w:val="-780"/>
          <w:marRight w:val="0"/>
          <w:marTop w:val="0"/>
          <w:marBottom w:val="0"/>
          <w:divBdr>
            <w:top w:val="none" w:sz="0" w:space="0" w:color="auto"/>
            <w:left w:val="none" w:sz="0" w:space="0" w:color="auto"/>
            <w:bottom w:val="none" w:sz="0" w:space="0" w:color="auto"/>
            <w:right w:val="none" w:sz="0" w:space="0" w:color="auto"/>
          </w:divBdr>
        </w:div>
        <w:div w:id="317003587">
          <w:marLeft w:val="-735"/>
          <w:marRight w:val="0"/>
          <w:marTop w:val="0"/>
          <w:marBottom w:val="0"/>
          <w:divBdr>
            <w:top w:val="none" w:sz="0" w:space="0" w:color="auto"/>
            <w:left w:val="none" w:sz="0" w:space="0" w:color="auto"/>
            <w:bottom w:val="none" w:sz="0" w:space="0" w:color="auto"/>
            <w:right w:val="none" w:sz="0" w:space="0" w:color="auto"/>
          </w:divBdr>
        </w:div>
        <w:div w:id="25062060">
          <w:marLeft w:val="-720"/>
          <w:marRight w:val="0"/>
          <w:marTop w:val="0"/>
          <w:marBottom w:val="0"/>
          <w:divBdr>
            <w:top w:val="none" w:sz="0" w:space="0" w:color="auto"/>
            <w:left w:val="none" w:sz="0" w:space="0" w:color="auto"/>
            <w:bottom w:val="none" w:sz="0" w:space="0" w:color="auto"/>
            <w:right w:val="none" w:sz="0" w:space="0" w:color="auto"/>
          </w:divBdr>
        </w:div>
        <w:div w:id="1528367700">
          <w:marLeft w:val="-660"/>
          <w:marRight w:val="0"/>
          <w:marTop w:val="0"/>
          <w:marBottom w:val="0"/>
          <w:divBdr>
            <w:top w:val="none" w:sz="0" w:space="0" w:color="auto"/>
            <w:left w:val="none" w:sz="0" w:space="0" w:color="auto"/>
            <w:bottom w:val="none" w:sz="0" w:space="0" w:color="auto"/>
            <w:right w:val="none" w:sz="0" w:space="0" w:color="auto"/>
          </w:divBdr>
        </w:div>
        <w:div w:id="332227344">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fort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D640B-6184-498D-A56B-CDF9CBFD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(4).dotx</Template>
  <TotalTime>3</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Pforts, April [IDOE]</dc:creator>
  <cp:keywords/>
  <dc:description/>
  <cp:lastModifiedBy>Albers, Lisa [IDOE]</cp:lastModifiedBy>
  <cp:revision>4</cp:revision>
  <dcterms:created xsi:type="dcterms:W3CDTF">2025-08-06T20:36:00Z</dcterms:created>
  <dcterms:modified xsi:type="dcterms:W3CDTF">2025-08-06T20:38:00Z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8987a58b-5162-4e29-8278-c2c4b11d1908</vt:lpwstr>
  </property>
</Properties>
</file>